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Informe de Avance</w:t>
      </w:r>
    </w:p>
    <w:p>
      <w:r>
        <w:rPr>
          <w:i/>
          <w:sz w:val="24"/>
        </w:rPr>
        <w:t>Proyecto Final Data Science — Producción No Convencional, Cuenca Neuquina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  <w:shd w:val="clear" w:color="auto" w:fill="E8EEF6"/>
          </w:tcPr>
          <w:p>
            <w:r/>
            <w:r>
              <w:rPr>
                <w:b/>
                <w:sz w:val="19"/>
              </w:rPr>
              <w:t>Alumnos</w:t>
            </w:r>
          </w:p>
        </w:tc>
        <w:tc>
          <w:tcPr>
            <w:tcW w:type="dxa" w:w="6860"/>
          </w:tcPr>
          <w:p>
            <w:r/>
            <w:r>
              <w:rPr>
                <w:sz w:val="19"/>
              </w:rPr>
              <w:t>Cristian Alejandro Aguilera, Abigail Roxana Vicentelo, Ian Lionel Tapias Díaz</w:t>
            </w:r>
          </w:p>
        </w:tc>
      </w:tr>
      <w:tr>
        <w:tc>
          <w:tcPr>
            <w:tcW w:type="dxa" w:w="2551"/>
            <w:shd w:val="clear" w:color="auto" w:fill="E8EEF6"/>
          </w:tcPr>
          <w:p>
            <w:r/>
            <w:r>
              <w:rPr>
                <w:b/>
                <w:sz w:val="19"/>
              </w:rPr>
              <w:t>Programa</w:t>
            </w:r>
          </w:p>
        </w:tc>
        <w:tc>
          <w:tcPr>
            <w:tcW w:type="dxa" w:w="6860"/>
          </w:tcPr>
          <w:p>
            <w:r/>
            <w:r>
              <w:rPr>
                <w:sz w:val="19"/>
              </w:rPr>
              <w:t>Data Science — Energía Digital 2026 (Fundación YPF - Jump)</w:t>
            </w:r>
          </w:p>
        </w:tc>
      </w:tr>
      <w:tr>
        <w:tc>
          <w:tcPr>
            <w:tcW w:type="dxa" w:w="2551"/>
            <w:shd w:val="clear" w:color="auto" w:fill="E8EEF6"/>
          </w:tcPr>
          <w:p>
            <w:r/>
            <w:r>
              <w:rPr>
                <w:b/>
                <w:sz w:val="19"/>
              </w:rPr>
              <w:t>Repositorio GitHub</w:t>
            </w:r>
          </w:p>
        </w:tc>
        <w:tc>
          <w:tcPr>
            <w:tcW w:type="dxa" w:w="6860"/>
          </w:tcPr>
          <w:p>
            <w:r/>
            <w:r>
              <w:rPr>
                <w:sz w:val="19"/>
              </w:rPr>
              <w:t>https://github.com/cristian-aguilera-ing/proyecto-ds-ypf.git</w:t>
            </w:r>
          </w:p>
        </w:tc>
      </w:tr>
      <w:tr>
        <w:tc>
          <w:tcPr>
            <w:tcW w:type="dxa" w:w="2551"/>
            <w:shd w:val="clear" w:color="auto" w:fill="E8EEF6"/>
          </w:tcPr>
          <w:p>
            <w:r/>
            <w:r>
              <w:rPr>
                <w:b/>
                <w:sz w:val="19"/>
              </w:rPr>
              <w:t>Versión</w:t>
            </w:r>
          </w:p>
        </w:tc>
        <w:tc>
          <w:tcPr>
            <w:tcW w:type="dxa" w:w="6860"/>
          </w:tcPr>
          <w:p>
            <w:r/>
            <w:r>
              <w:rPr>
                <w:sz w:val="19"/>
              </w:rPr>
              <w:t>Versión 2 — Cuenca Neuquina, petróleo y gas (actualizado al 23 de octubre de 2026)</w:t>
            </w:r>
          </w:p>
        </w:tc>
      </w:tr>
    </w:tbl>
    <w:p>
      <w:pPr>
        <w:spacing w:after="40"/>
      </w:pPr>
    </w:p>
    <w:p>
      <w:pPr>
        <w:pStyle w:val="Heading1"/>
      </w:pPr>
      <w:r>
        <w:t>1. Estado actual</w:t>
      </w:r>
    </w:p>
    <w:p>
      <w:r>
        <w:t>La versión 2 del proyecto está completa: datos limpios, cuatro modelos supervisados, clustering, explicabilidad, API, frontend, Docker Compose, tests y documentación. Se presenta como pull request (rama feature/v2-neuquina) sobre la versión 1 del repositorio.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402"/>
            <w:shd w:val="clear" w:color="auto" w:fill="E8EEF6"/>
          </w:tcPr>
          <w:p>
            <w:r/>
            <w:r>
              <w:rPr>
                <w:b/>
                <w:sz w:val="19"/>
              </w:rPr>
              <w:t>Etapa</w:t>
            </w:r>
          </w:p>
        </w:tc>
        <w:tc>
          <w:tcPr>
            <w:tcW w:type="dxa" w:w="1701"/>
            <w:shd w:val="clear" w:color="auto" w:fill="E8EEF6"/>
          </w:tcPr>
          <w:p>
            <w:r/>
            <w:r>
              <w:rPr>
                <w:b/>
                <w:sz w:val="19"/>
              </w:rPr>
              <w:t>Estado</w:t>
            </w:r>
          </w:p>
        </w:tc>
        <w:tc>
          <w:tcPr>
            <w:tcW w:type="dxa" w:w="4309"/>
            <w:shd w:val="clear" w:color="auto" w:fill="E8EEF6"/>
          </w:tcPr>
          <w:p>
            <w:r/>
            <w:r>
              <w:rPr>
                <w:b/>
                <w:sz w:val="19"/>
              </w:rPr>
              <w:t>Entregable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Pre-Entrega 1 — definición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Cerrada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docs/Pre_Entrega_1_YPF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Pre-Entrega 2 — EDA y limpieza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Cerrada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notebooks 01 y 02, src/ypf_ds/data/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Pre-Entrega 3 — supervisado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Cerrada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notebook 03, src/ypf_ds/models/train.py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Pre-Entrega 4 — no supervisado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Cerrada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notebook 04, src/ypf_ds/models/cluster.py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Explicabilidad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Cerrada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notebook 05 y SHAP por predicción en la API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Entrega final — API, frontend y Docker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Funcionando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api/, frontend/, compose.yaml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Tests automáticos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15 tests pasan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tests/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Presentación oral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Pendiente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</w:pPr>
      <w:r>
        <w:t>2. Qué cambió de la versión 1 a la versión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268"/>
            <w:shd w:val="clear" w:color="auto" w:fill="E8EEF6"/>
          </w:tcPr>
          <w:p>
            <w:r/>
            <w:r>
              <w:rPr>
                <w:b/>
                <w:sz w:val="19"/>
              </w:rPr>
              <w:t>Aspecto</w:t>
            </w:r>
          </w:p>
        </w:tc>
        <w:tc>
          <w:tcPr>
            <w:tcW w:type="dxa" w:w="2835"/>
            <w:shd w:val="clear" w:color="auto" w:fill="E8EEF6"/>
          </w:tcPr>
          <w:p>
            <w:r/>
            <w:r>
              <w:rPr>
                <w:b/>
                <w:sz w:val="19"/>
              </w:rPr>
              <w:t>Versión 1</w:t>
            </w:r>
          </w:p>
        </w:tc>
        <w:tc>
          <w:tcPr>
            <w:tcW w:type="dxa" w:w="4309"/>
            <w:shd w:val="clear" w:color="auto" w:fill="E8EEF6"/>
          </w:tcPr>
          <w:p>
            <w:r/>
            <w:r>
              <w:rPr>
                <w:b/>
                <w:sz w:val="19"/>
              </w:rPr>
              <w:t>Versión 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Población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4 cuencas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Solo Cuenca Neuquina (96 % de los datos)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Fluidos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Solo petróleo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Petróleo y gas, con modelos separados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Horizonte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1 mes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1 a 12 meses (pozo existente) y 24 meses (pozo nuevo)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Pozo nuevo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Curva tipo desde atributos conocidos antes de perforar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Incertidumbre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Bandas P10–P90 con regresión por cuantiles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Baselines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Repetir el mes anterior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Persistencia, curva de declinación Arps y curva mediana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Datos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pandas, CSV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Polars + DuckDB, Parquet; grilla mensual continua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Algoritmos comparados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XGBoost y LightGBM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Ridge, árbol, KNN, Random Forest, MLP, XGBoost y LightGBM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Clustering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4 variables resumen, K-Means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Forma de curva + SVD, K-Means vs DBSCAN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Seguimiento de experimentos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MLflow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Frontend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Formulario de pruebas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Dos modos, gráficos con bandas, SHAP, cluster y avisos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Tests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15 tests (limpieza, ausencia de fuga, API)</w:t>
            </w:r>
          </w:p>
        </w:tc>
      </w:tr>
    </w:tbl>
    <w:p>
      <w:pPr>
        <w:spacing w:after="40"/>
      </w:pPr>
    </w:p>
    <w:p>
      <w:pPr>
        <w:pStyle w:val="Heading1"/>
      </w:pPr>
      <w:r>
        <w:t>3. Resultados principales (test 2024–2025)</w:t>
      </w:r>
    </w:p>
    <w:p>
      <w:pPr>
        <w:pStyle w:val="ListBullet"/>
      </w:pPr>
      <w:r>
        <w:t>Pozo existente, petróleo: R² 0,730 (persistencia 0,246); a 1 mes R² 0,889, a 12 meses 0,630.</w:t>
      </w:r>
    </w:p>
    <w:p>
      <w:pPr>
        <w:pStyle w:val="ListBullet"/>
      </w:pPr>
      <w:r>
        <w:t>Pozo existente, gas: R² 0,779 (persistencia 0,536).</w:t>
      </w:r>
    </w:p>
    <w:p>
      <w:pPr>
        <w:pStyle w:val="ListBullet"/>
      </w:pPr>
      <w:r>
        <w:t>Backtest a 12 meses desde diciembre 2023: WAPE 0,357 contra 0,583 de Arps (petróleo).</w:t>
      </w:r>
    </w:p>
    <w:p>
      <w:pPr>
        <w:pStyle w:val="ListBullet"/>
      </w:pPr>
      <w:r>
        <w:t>Pozo nuevo, acumulada 12 meses: R² 0,448 en petróleo y 0,860 en gas, contra -0,282 y 0,724 de la curva mediana.</w:t>
      </w:r>
    </w:p>
    <w:p>
      <w:pPr>
        <w:pStyle w:val="ListBullet"/>
      </w:pPr>
      <w:r>
        <w:t>Con el mismo alcance que la v1 (1 mes, petróleo): R² 0,906, equivalente al 0,907 de la v1.</w:t>
      </w:r>
    </w:p>
    <w:p>
      <w:pPr>
        <w:pStyle w:val="Heading1"/>
      </w:pPr>
      <w:r>
        <w:t>4. Decisiones técnicas relevantes</w:t>
      </w:r>
    </w:p>
    <w:p>
      <w:pPr>
        <w:pStyle w:val="ListBullet"/>
      </w:pPr>
      <w:r>
        <w:rPr>
          <w:b/>
        </w:rPr>
        <w:t xml:space="preserve">Target en volumen: </w:t>
      </w:r>
      <w:r>
        <w:t>modelar en log subestimaba la producción total en ~19–25 %; se pasó a minimizar el error en m³.</w:t>
      </w:r>
    </w:p>
    <w:p>
      <w:pPr>
        <w:pStyle w:val="ListBullet"/>
      </w:pPr>
      <w:r>
        <w:rPr>
          <w:b/>
        </w:rPr>
        <w:t xml:space="preserve">Validación estrictamente temporal: </w:t>
      </w:r>
      <w:r>
        <w:t>train ≤ 2022, validación 2023, test 2024–2025; en el modo B, por año de inicio del pozo.</w:t>
      </w:r>
    </w:p>
    <w:p>
      <w:pPr>
        <w:pStyle w:val="ListBullet"/>
      </w:pPr>
      <w:r>
        <w:rPr>
          <w:b/>
        </w:rPr>
        <w:t xml:space="preserve">Capítulo IV: </w:t>
      </w:r>
      <w:r>
        <w:t>integrado en la limpieza; sus variables se evalúan en cada entrenamiento y hoy no se usan porque no mejoran la validación.</w:t>
      </w:r>
    </w:p>
    <w:p>
      <w:pPr>
        <w:pStyle w:val="ListBullet"/>
      </w:pPr>
      <w:r>
        <w:rPr>
          <w:b/>
        </w:rPr>
        <w:t xml:space="preserve">Honestidad de la comparación: </w:t>
      </w:r>
      <w:r>
        <w:t>Random Forest empata con LightGBM en la muestra; se eligió LightGBM por escala, cuantiles y pesos, y se documentó.</w:t>
      </w:r>
    </w:p>
    <w:p>
      <w:pPr>
        <w:pStyle w:val="Heading1"/>
      </w:pPr>
      <w:r>
        <w:t>5. Próximos pasos</w:t>
      </w:r>
    </w:p>
    <w:p>
      <w:pPr>
        <w:pStyle w:val="ListBullet"/>
      </w:pPr>
      <w:r>
        <w:t>Revisión del pull request por el equipo y merge a main.</w:t>
      </w:r>
    </w:p>
    <w:p>
      <w:pPr>
        <w:pStyle w:val="ListBullet"/>
      </w:pPr>
      <w:r>
        <w:t>Presentación oral de 15 minutos con demo en vivo.</w:t>
      </w:r>
    </w:p>
    <w:p>
      <w:pPr>
        <w:pStyle w:val="ListBullet"/>
      </w:pPr>
      <w:r>
        <w:t>Opcional: deploy de la API en Render o Hugging Face Spaces.</w:t>
      </w:r>
    </w:p>
    <w:p>
      <w:pPr>
        <w:pStyle w:val="ListBullet"/>
      </w:pPr>
      <w:r>
        <w:t>Mejora futura: incorporar largo de rama lateral y etapas de fractura si se consiguen datos públicos.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B5CA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B5CA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B5CA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