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4"/>
          <w:szCs w:val="44"/>
        </w:rPr>
        <w:t xml:space="preserve">INFORME DE AVANCE</w:t>
      </w:r>
    </w:p>
    <w:p>
      <w:pPr>
        <w:spacing w:after="300"/>
        <w:jc w:val="center"/>
      </w:pPr>
      <w:r>
        <w:rPr>
          <w:b/>
          <w:bCs/>
          <w:color w:val="2E5395"/>
          <w:sz w:val="30"/>
          <w:szCs w:val="30"/>
        </w:rPr>
        <w:t xml:space="preserve">Proyecto Final Data Science — YPF / Vaca Muerta</w:t>
      </w:r>
    </w:p>
    <w:p>
      <w:pPr>
        <w:spacing w:after="500"/>
        <w:jc w:val="center"/>
      </w:pPr>
      <w:r>
        <w:rPr>
          <w:i/>
          <w:iCs/>
          <w:color w:val="595959"/>
          <w:sz w:val="22"/>
          <w:szCs w:val="22"/>
        </w:rPr>
        <w:t xml:space="preserve">Predicción y Optimización de la Producción de Hidrocarburos No Convencionales</w:t>
      </w:r>
    </w:p>
    <w:p>
      <w:pPr>
        <w:jc w:val="center"/>
      </w:pPr>
      <w:r>
        <w:rPr>
          <w:sz w:val="22"/>
          <w:szCs w:val="22"/>
        </w:rPr>
        <w:t xml:space="preserve">Período: 3 de septiembre al 18 de octubre de 2026</w:t>
      </w:r>
    </w:p>
    <w:p>
      <w:pPr>
        <w:spacing w:after="400"/>
        <w:jc w:val="center"/>
      </w:pPr>
      <w:r>
        <w:rPr>
          <w:i/>
          <w:iCs/>
          <w:color w:val="444444"/>
          <w:sz w:val="22"/>
          <w:szCs w:val="22"/>
        </w:rPr>
        <w:t xml:space="preserve">Etapa actual: Entrega Final — modelado supervisado y no supervisado cerrados, explicabilidad y optimización hechas, API y frontend con Docker Compose funcionando.</w:t>
      </w:r>
    </w:p>
    <w:p>
      <w:r>
        <w:br w:type="page"/>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1. Objetivo del proyecto</w:t>
      </w:r>
    </w:p>
    <w:p>
      <w:pPr>
        <w:spacing w:after="160"/>
        <w:jc w:val="both"/>
      </w:pPr>
      <w:r>
        <w:rPr>
          <w:b w:val="false"/>
          <w:bCs w:val="false"/>
          <w:i w:val="false"/>
          <w:iCs w:val="false"/>
          <w:sz w:val="22"/>
          <w:szCs w:val="22"/>
        </w:rPr>
        <w:t xml:space="preserve">Predecir la curva de producción acumulada mensual de petróleo y gas en pozos no convencionales (shale/tight) de la cuenca Neuquina, a partir de parámetros geológicos y de completación, usando regresión supervisada (XGBoost / LightGBM) y clustering no supervisado (K-Means) para agrupar pozos según su curva de declinación.</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2. Fuente de datos</w:t>
      </w:r>
    </w:p>
    <w:p>
      <w:pPr>
        <w:spacing w:after="160"/>
        <w:jc w:val="both"/>
      </w:pPr>
      <w:r>
        <w:rPr>
          <w:b w:val="false"/>
          <w:bCs w:val="false"/>
          <w:i w:val="false"/>
          <w:iCs w:val="false"/>
          <w:sz w:val="22"/>
          <w:szCs w:val="22"/>
        </w:rPr>
        <w:t xml:space="preserve">Se identificó y descargó el dataset oficial de la </w:t>
      </w:r>
      <w:r>
        <w:rPr>
          <w:b/>
          <w:bCs/>
          <w:i w:val="false"/>
          <w:iCs w:val="false"/>
          <w:sz w:val="22"/>
          <w:szCs w:val="22"/>
        </w:rPr>
        <w:t xml:space="preserve">Secretaría de Energía de la Nación Argentina</w:t>
      </w:r>
      <w:r>
        <w:rPr>
          <w:b w:val="false"/>
          <w:bCs w:val="false"/>
          <w:i w:val="false"/>
          <w:iCs w:val="false"/>
          <w:sz w:val="22"/>
          <w:szCs w:val="22"/>
        </w:rPr>
        <w:t xml:space="preserve">, dentro del dataset "Producción de petróleo y gas por pozo (Capítulo IV)":</w:t>
      </w:r>
    </w:p>
    <w:p>
      <w:pPr>
        <w:spacing w:after="100"/>
        <w:ind w:left="300"/>
      </w:pPr>
      <w:r>
        <w:rPr>
          <w:b/>
          <w:bCs/>
          <w:color w:val="1F3864"/>
          <w:sz w:val="22"/>
          <w:szCs w:val="22"/>
        </w:rPr>
        <w:t xml:space="preserve">• </w:t>
      </w:r>
      <w:r>
        <w:rPr>
          <w:b/>
          <w:bCs/>
          <w:i w:val="false"/>
          <w:iCs w:val="false"/>
          <w:sz w:val="22"/>
          <w:szCs w:val="22"/>
        </w:rPr>
        <w:t xml:space="preserve">Archivo principal:</w:t>
      </w:r>
      <w:r>
        <w:rPr>
          <w:b w:val="false"/>
          <w:bCs w:val="false"/>
          <w:i w:val="false"/>
          <w:iCs w:val="false"/>
          <w:sz w:val="22"/>
          <w:szCs w:val="22"/>
        </w:rPr>
        <w:t xml:space="preserve"> </w:t>
      </w:r>
      <w:r>
        <w:rPr>
          <w:b w:val="false"/>
          <w:bCs w:val="false"/>
          <w:i/>
          <w:iCs/>
          <w:sz w:val="22"/>
          <w:szCs w:val="22"/>
        </w:rPr>
        <w:t xml:space="preserve">Producción de Pozos de Gas y Petróleo No Convencional</w:t>
      </w:r>
      <w:r>
        <w:rPr>
          <w:b w:val="false"/>
          <w:bCs w:val="false"/>
          <w:i w:val="false"/>
          <w:iCs w:val="false"/>
          <w:sz w:val="22"/>
          <w:szCs w:val="22"/>
        </w:rPr>
        <w:t xml:space="preserve"> — ya viene filtrado a pozos shale/tight, evitando tener que separarlos manualmente del resto del universo de pozos convencionales.</w:t>
      </w:r>
    </w:p>
    <w:p>
      <w:pPr>
        <w:spacing w:after="100"/>
        <w:ind w:left="300"/>
      </w:pPr>
      <w:r>
        <w:rPr>
          <w:b/>
          <w:bCs/>
          <w:color w:val="1F3864"/>
          <w:sz w:val="22"/>
          <w:szCs w:val="22"/>
        </w:rPr>
        <w:t xml:space="preserve">• </w:t>
      </w:r>
      <w:r>
        <w:rPr>
          <w:b/>
          <w:bCs/>
          <w:i w:val="false"/>
          <w:iCs w:val="false"/>
          <w:sz w:val="22"/>
          <w:szCs w:val="22"/>
        </w:rPr>
        <w:t xml:space="preserve">Archivo complementario:</w:t>
      </w:r>
      <w:r>
        <w:rPr>
          <w:b w:val="false"/>
          <w:bCs w:val="false"/>
          <w:i w:val="false"/>
          <w:iCs w:val="false"/>
          <w:sz w:val="22"/>
          <w:szCs w:val="22"/>
        </w:rPr>
        <w:t xml:space="preserve"> </w:t>
      </w:r>
      <w:r>
        <w:rPr>
          <w:b w:val="false"/>
          <w:bCs w:val="false"/>
          <w:i/>
          <w:iCs/>
          <w:sz w:val="22"/>
          <w:szCs w:val="22"/>
        </w:rPr>
        <w:t xml:space="preserve">Capítulo IV - Pozos</w:t>
      </w:r>
      <w:r>
        <w:rPr>
          <w:b w:val="false"/>
          <w:bCs w:val="false"/>
          <w:i w:val="false"/>
          <w:iCs w:val="false"/>
          <w:sz w:val="22"/>
          <w:szCs w:val="22"/>
        </w:rPr>
        <w:t xml:space="preserve"> — metadatos de pozos (se descargó pero, como se detalla más abajo, no resultó necesario para el cruce inicial).</w:t>
      </w:r>
    </w:p>
    <w:p>
      <w:pPr>
        <w:spacing w:after="160"/>
        <w:jc w:val="both"/>
      </w:pPr>
      <w:r>
        <w:rPr>
          <w:b w:val="false"/>
          <w:bCs w:val="false"/>
          <w:i w:val="false"/>
          <w:iCs w:val="false"/>
          <w:sz w:val="22"/>
          <w:szCs w:val="22"/>
        </w:rPr>
        <w:t xml:space="preserve">Portal: https://datos.gob.ar/dataset/energia-produccion-petroleo-gas-por-pozo-capitulo-iv</w:t>
      </w:r>
    </w:p>
    <w:p>
      <w:pPr>
        <w:spacing w:after="160"/>
        <w:jc w:val="both"/>
      </w:pPr>
      <w:r>
        <w:rPr>
          <w:b/>
          <w:bCs/>
          <w:i w:val="false"/>
          <w:iCs w:val="false"/>
          <w:sz w:val="22"/>
          <w:szCs w:val="22"/>
        </w:rPr>
        <w:t xml:space="preserve">Nota:</w:t>
      </w:r>
      <w:r>
        <w:rPr>
          <w:b w:val="false"/>
          <w:bCs w:val="false"/>
          <w:i w:val="false"/>
          <w:iCs w:val="false"/>
          <w:sz w:val="22"/>
          <w:szCs w:val="22"/>
        </w:rPr>
        <w:t xml:space="preserve"> una primera exploración en Google Colab había mostrado solo 5.701 filas (2015-2018), lo cual resultó ser una muestra parcial. El archivo efectivamente cargado en el entorno de trabajo (VS Code) contiene el histórico completo.</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3. Entorno de trabajo</w:t>
      </w:r>
    </w:p>
    <w:p>
      <w:pPr>
        <w:spacing w:after="100"/>
        <w:ind w:left="300"/>
      </w:pPr>
      <w:r>
        <w:rPr>
          <w:b/>
          <w:bCs/>
          <w:color w:val="1F3864"/>
          <w:sz w:val="22"/>
          <w:szCs w:val="22"/>
        </w:rPr>
        <w:t xml:space="preserve">• </w:t>
      </w:r>
      <w:r>
        <w:rPr>
          <w:b/>
          <w:bCs/>
          <w:i w:val="false"/>
          <w:iCs w:val="false"/>
          <w:sz w:val="22"/>
          <w:szCs w:val="22"/>
        </w:rPr>
        <w:t xml:space="preserve">Estructura de repositorio</w:t>
      </w:r>
      <w:r>
        <w:rPr>
          <w:b w:val="false"/>
          <w:bCs w:val="false"/>
          <w:i w:val="false"/>
          <w:iCs w:val="false"/>
          <w:sz w:val="22"/>
          <w:szCs w:val="22"/>
        </w:rPr>
        <w:t xml:space="preserve"> creada según el estándar del curso (</w:t>
      </w:r>
      <w:r>
        <w:rPr>
          <w:rFonts w:ascii="Consolas" w:cs="Consolas" w:eastAsia="Consolas" w:hAnsi="Consolas"/>
          <w:b w:val="false"/>
          <w:bCs w:val="false"/>
          <w:color w:val="C0392B"/>
          <w:sz w:val="20"/>
          <w:szCs w:val="20"/>
          <w:shd w:fill="F0F0F0" w:val="clear"/>
        </w:rPr>
        <w:t xml:space="preserve">data/</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notebooks/</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src/</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api/</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models/</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reports/</w:t>
      </w:r>
      <w:r>
        <w:rPr>
          <w:b w:val="false"/>
          <w:bCs w:val="false"/>
          <w:i w:val="false"/>
          <w:iCs w:val="false"/>
          <w:sz w:val="22"/>
          <w:szCs w:val="22"/>
        </w:rPr>
        <w:t xml:space="preserve">, más </w:t>
      </w:r>
      <w:r>
        <w:rPr>
          <w:rFonts w:ascii="Consolas" w:cs="Consolas" w:eastAsia="Consolas" w:hAnsi="Consolas"/>
          <w:b w:val="false"/>
          <w:bCs w:val="false"/>
          <w:color w:val="C0392B"/>
          <w:sz w:val="20"/>
          <w:szCs w:val="20"/>
          <w:shd w:fill="F0F0F0" w:val="clear"/>
        </w:rPr>
        <w:t xml:space="preserve">Dockerfile</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requirements.txt</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README.md</w:t>
      </w:r>
      <w:r>
        <w:rPr>
          <w:b w:val="false"/>
          <w:bCs w:val="false"/>
          <w:i w:val="false"/>
          <w:iCs w:val="false"/>
          <w:sz w:val="22"/>
          <w:szCs w:val="22"/>
        </w:rPr>
        <w:t xml:space="preserve">).</w:t>
      </w:r>
    </w:p>
    <w:p>
      <w:pPr>
        <w:spacing w:after="100"/>
        <w:ind w:left="300"/>
      </w:pPr>
      <w:r>
        <w:rPr>
          <w:b/>
          <w:bCs/>
          <w:color w:val="1F3864"/>
          <w:sz w:val="22"/>
          <w:szCs w:val="22"/>
        </w:rPr>
        <w:t xml:space="preserve">• </w:t>
      </w:r>
      <w:r>
        <w:rPr>
          <w:b/>
          <w:bCs/>
          <w:i w:val="false"/>
          <w:iCs w:val="false"/>
          <w:sz w:val="22"/>
          <w:szCs w:val="22"/>
        </w:rPr>
        <w:t xml:space="preserve">Entorno virtual</w:t>
      </w:r>
      <w:r>
        <w:rPr>
          <w:b w:val="false"/>
          <w:bCs w:val="false"/>
          <w:i w:val="false"/>
          <w:iCs w:val="false"/>
          <w:sz w:val="22"/>
          <w:szCs w:val="22"/>
        </w:rPr>
        <w:t xml:space="preserve"> creado con </w:t>
      </w:r>
      <w:r>
        <w:rPr>
          <w:rFonts w:ascii="Consolas" w:cs="Consolas" w:eastAsia="Consolas" w:hAnsi="Consolas"/>
          <w:b w:val="false"/>
          <w:bCs w:val="false"/>
          <w:color w:val="C0392B"/>
          <w:sz w:val="20"/>
          <w:szCs w:val="20"/>
          <w:shd w:fill="F0F0F0" w:val="clear"/>
        </w:rPr>
        <w:t xml:space="preserve">python3 -m venv venv</w:t>
      </w:r>
      <w:r>
        <w:rPr>
          <w:b w:val="false"/>
          <w:bCs w:val="false"/>
          <w:i w:val="false"/>
          <w:iCs w:val="false"/>
          <w:sz w:val="22"/>
          <w:szCs w:val="22"/>
        </w:rPr>
        <w:t xml:space="preserve"> (Python 3.14.6, instalado vía Homebrew) para aislar las dependencias del sistema operativo.</w:t>
      </w:r>
    </w:p>
    <w:p>
      <w:pPr>
        <w:spacing w:after="100"/>
        <w:ind w:left="300"/>
      </w:pPr>
      <w:r>
        <w:rPr>
          <w:b/>
          <w:bCs/>
          <w:color w:val="1F3864"/>
          <w:sz w:val="22"/>
          <w:szCs w:val="22"/>
        </w:rPr>
        <w:t xml:space="preserve">• </w:t>
      </w:r>
      <w:r>
        <w:rPr>
          <w:rFonts w:ascii="Consolas" w:cs="Consolas" w:eastAsia="Consolas" w:hAnsi="Consolas"/>
          <w:b w:val="false"/>
          <w:bCs w:val="false"/>
          <w:color w:val="C0392B"/>
          <w:sz w:val="20"/>
          <w:szCs w:val="20"/>
          <w:shd w:fill="F0F0F0" w:val="clear"/>
        </w:rPr>
        <w:t xml:space="preserve">venv/</w:t>
      </w:r>
      <w:r>
        <w:rPr>
          <w:b w:val="false"/>
          <w:bCs w:val="false"/>
          <w:i w:val="false"/>
          <w:iCs w:val="false"/>
          <w:sz w:val="22"/>
          <w:szCs w:val="22"/>
        </w:rPr>
        <w:t xml:space="preserve"> agregado a </w:t>
      </w:r>
      <w:r>
        <w:rPr>
          <w:rFonts w:ascii="Consolas" w:cs="Consolas" w:eastAsia="Consolas" w:hAnsi="Consolas"/>
          <w:b w:val="false"/>
          <w:bCs w:val="false"/>
          <w:color w:val="C0392B"/>
          <w:sz w:val="20"/>
          <w:szCs w:val="20"/>
          <w:shd w:fill="F0F0F0" w:val="clear"/>
        </w:rPr>
        <w:t xml:space="preserve">.gitignore</w:t>
      </w:r>
      <w:r>
        <w:rPr>
          <w:b w:val="false"/>
          <w:bCs w:val="false"/>
          <w:i w:val="false"/>
          <w:iCs w:val="false"/>
          <w:sz w:val="22"/>
          <w:szCs w:val="22"/>
        </w:rPr>
        <w:t xml:space="preserve"> para no versionarlo.</w:t>
      </w:r>
    </w:p>
    <w:p>
      <w:pPr>
        <w:spacing w:after="100"/>
        <w:ind w:left="300"/>
      </w:pPr>
      <w:r>
        <w:rPr>
          <w:b/>
          <w:bCs/>
          <w:color w:val="1F3864"/>
          <w:sz w:val="22"/>
          <w:szCs w:val="22"/>
        </w:rPr>
        <w:t xml:space="preserve">• </w:t>
      </w:r>
      <w:r>
        <w:rPr>
          <w:b w:val="false"/>
          <w:bCs w:val="false"/>
          <w:i w:val="false"/>
          <w:iCs w:val="false"/>
          <w:sz w:val="22"/>
          <w:szCs w:val="22"/>
        </w:rPr>
        <w:t xml:space="preserve">Dependencias instaladas dentro del entorno (</w:t>
      </w:r>
      <w:r>
        <w:rPr>
          <w:rFonts w:ascii="Consolas" w:cs="Consolas" w:eastAsia="Consolas" w:hAnsi="Consolas"/>
          <w:b w:val="false"/>
          <w:bCs w:val="false"/>
          <w:color w:val="C0392B"/>
          <w:sz w:val="20"/>
          <w:szCs w:val="20"/>
          <w:shd w:fill="F0F0F0" w:val="clear"/>
        </w:rPr>
        <w:t xml:space="preserve">pandas</w:t>
      </w:r>
      <w:r>
        <w:rPr>
          <w:b w:val="false"/>
          <w:bCs w:val="false"/>
          <w:i w:val="false"/>
          <w:iCs w:val="false"/>
          <w:sz w:val="22"/>
          <w:szCs w:val="22"/>
        </w:rPr>
        <w:t xml:space="preserve"> por el momento) y congeladas en </w:t>
      </w:r>
      <w:r>
        <w:rPr>
          <w:rFonts w:ascii="Consolas" w:cs="Consolas" w:eastAsia="Consolas" w:hAnsi="Consolas"/>
          <w:b w:val="false"/>
          <w:bCs w:val="false"/>
          <w:color w:val="C0392B"/>
          <w:sz w:val="20"/>
          <w:szCs w:val="20"/>
          <w:shd w:fill="F0F0F0" w:val="clear"/>
        </w:rPr>
        <w:t xml:space="preserve">requirements.txt</w:t>
      </w:r>
      <w:r>
        <w:rPr>
          <w:b w:val="false"/>
          <w:bCs w:val="false"/>
          <w:i w:val="false"/>
          <w:iCs w:val="false"/>
          <w:sz w:val="22"/>
          <w:szCs w:val="22"/>
        </w:rPr>
        <w:t xml:space="preserve"> con </w:t>
      </w:r>
      <w:r>
        <w:rPr>
          <w:rFonts w:ascii="Consolas" w:cs="Consolas" w:eastAsia="Consolas" w:hAnsi="Consolas"/>
          <w:b w:val="false"/>
          <w:bCs w:val="false"/>
          <w:color w:val="C0392B"/>
          <w:sz w:val="20"/>
          <w:szCs w:val="20"/>
          <w:shd w:fill="F0F0F0" w:val="clear"/>
        </w:rPr>
        <w:t xml:space="preserve">pip freeze</w:t>
      </w:r>
      <w:r>
        <w:rPr>
          <w:b w:val="false"/>
          <w:bCs w:val="false"/>
          <w:i w:val="false"/>
          <w:iCs w:val="false"/>
          <w:sz w:val="22"/>
          <w:szCs w:val="22"/>
        </w:rPr>
        <w:t xml:space="preserve">.</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4. </w:t>
      </w:r>
      <w:r>
        <w:rPr>
          <w:rFonts w:ascii="Consolas" w:cs="Consolas" w:eastAsia="Consolas" w:hAnsi="Consolas"/>
          <w:b/>
          <w:bCs/>
          <w:color w:val="1F3864"/>
          <w:sz w:val="30"/>
          <w:szCs w:val="30"/>
        </w:rPr>
        <w:t xml:space="preserve">src/data_loader.py</w:t>
      </w:r>
    </w:p>
    <w:p>
      <w:pPr>
        <w:spacing w:after="160"/>
        <w:jc w:val="both"/>
      </w:pPr>
      <w:r>
        <w:rPr>
          <w:b w:val="false"/>
          <w:bCs w:val="false"/>
          <w:i w:val="false"/>
          <w:iCs w:val="false"/>
          <w:sz w:val="22"/>
          <w:szCs w:val="22"/>
        </w:rPr>
        <w:t xml:space="preserve">Se construyó el módulo de ingesta con responsabilidad única: </w:t>
      </w:r>
      <w:r>
        <w:rPr>
          <w:b/>
          <w:bCs/>
          <w:i w:val="false"/>
          <w:iCs w:val="false"/>
          <w:sz w:val="22"/>
          <w:szCs w:val="22"/>
        </w:rPr>
        <w:t xml:space="preserve">leer y validar los datos crudos, sin transformarlos</w:t>
      </w:r>
      <w:r>
        <w:rPr>
          <w:b w:val="false"/>
          <w:bCs w:val="false"/>
          <w:i w:val="false"/>
          <w:iCs w:val="false"/>
          <w:sz w:val="22"/>
          <w:szCs w:val="22"/>
        </w:rPr>
        <w:t xml:space="preserve"> (esa tarea queda reservada a </w:t>
      </w:r>
      <w:r>
        <w:rPr>
          <w:rFonts w:ascii="Consolas" w:cs="Consolas" w:eastAsia="Consolas" w:hAnsi="Consolas"/>
          <w:b w:val="false"/>
          <w:bCs w:val="false"/>
          <w:color w:val="C0392B"/>
          <w:sz w:val="20"/>
          <w:szCs w:val="20"/>
          <w:shd w:fill="F0F0F0" w:val="clear"/>
        </w:rPr>
        <w:t xml:space="preserve">preprocessor.py</w:t>
      </w:r>
      <w:r>
        <w:rPr>
          <w:b w:val="false"/>
          <w:bCs w:val="false"/>
          <w:i w:val="false"/>
          <w:iCs w:val="false"/>
          <w:sz w:val="22"/>
          <w:szCs w:val="22"/>
        </w:rPr>
        <w:t xml:space="preserve">).</w:t>
      </w:r>
    </w:p>
    <w:p>
      <w:pPr>
        <w:spacing w:after="160"/>
        <w:jc w:val="both"/>
      </w:pPr>
      <w:r>
        <w:rPr>
          <w:b w:val="false"/>
          <w:bCs w:val="false"/>
          <w:i w:val="false"/>
          <w:iCs w:val="false"/>
          <w:sz w:val="22"/>
          <w:szCs w:val="22"/>
        </w:rPr>
        <w:t xml:space="preserve">Funciones implementadas:</w:t>
      </w:r>
    </w:p>
    <w:p>
      <w:pPr>
        <w:spacing w:after="100"/>
        <w:ind w:left="300"/>
      </w:pPr>
      <w:r>
        <w:rPr>
          <w:b/>
          <w:bCs/>
          <w:color w:val="1F3864"/>
          <w:sz w:val="22"/>
          <w:szCs w:val="22"/>
        </w:rPr>
        <w:t xml:space="preserve">• </w:t>
      </w:r>
      <w:r>
        <w:rPr>
          <w:b/>
          <w:bCs/>
          <w:i w:val="false"/>
          <w:iCs w:val="false"/>
          <w:sz w:val="22"/>
          <w:szCs w:val="22"/>
        </w:rPr>
        <w:t xml:space="preserve">`cargar_produccion_no_convencional()`</w:t>
      </w:r>
      <w:r>
        <w:rPr>
          <w:b w:val="false"/>
          <w:bCs w:val="false"/>
          <w:i w:val="false"/>
          <w:iCs w:val="false"/>
          <w:sz w:val="22"/>
          <w:szCs w:val="22"/>
        </w:rPr>
        <w:t xml:space="preserve">: lee el CSV principal desde </w:t>
      </w:r>
      <w:r>
        <w:rPr>
          <w:rFonts w:ascii="Consolas" w:cs="Consolas" w:eastAsia="Consolas" w:hAnsi="Consolas"/>
          <w:b w:val="false"/>
          <w:bCs w:val="false"/>
          <w:color w:val="C0392B"/>
          <w:sz w:val="20"/>
          <w:szCs w:val="20"/>
          <w:shd w:fill="F0F0F0" w:val="clear"/>
        </w:rPr>
        <w:t xml:space="preserve">data/raw/</w:t>
      </w:r>
      <w:r>
        <w:rPr>
          <w:b w:val="false"/>
          <w:bCs w:val="false"/>
          <w:i w:val="false"/>
          <w:iCs w:val="false"/>
          <w:sz w:val="22"/>
          <w:szCs w:val="22"/>
        </w:rPr>
        <w:t xml:space="preserve">, valida que estén presentes las columnas mínimas esperadas por el resto del pipeline y falla con un error claro si no lo están (en vez de dejar que el problema aparezca más adelante en el modelado).</w:t>
      </w:r>
    </w:p>
    <w:p>
      <w:pPr>
        <w:spacing w:after="100"/>
        <w:ind w:left="300"/>
      </w:pPr>
      <w:r>
        <w:rPr>
          <w:b/>
          <w:bCs/>
          <w:color w:val="1F3864"/>
          <w:sz w:val="22"/>
          <w:szCs w:val="22"/>
        </w:rPr>
        <w:t xml:space="preserve">• </w:t>
      </w:r>
      <w:r>
        <w:rPr>
          <w:b/>
          <w:bCs/>
          <w:i w:val="false"/>
          <w:iCs w:val="false"/>
          <w:sz w:val="22"/>
          <w:szCs w:val="22"/>
        </w:rPr>
        <w:t xml:space="preserve">`cargar_capitulo_iv_pozos()`</w:t>
      </w:r>
      <w:r>
        <w:rPr>
          <w:b w:val="false"/>
          <w:bCs w:val="false"/>
          <w:i w:val="false"/>
          <w:iCs w:val="false"/>
          <w:sz w:val="22"/>
          <w:szCs w:val="22"/>
        </w:rPr>
        <w:t xml:space="preserve">: lee el CSV complementario de metadatos de pozos, mismo criterio de validación.</w:t>
      </w:r>
    </w:p>
    <w:p>
      <w:pPr>
        <w:spacing w:after="100"/>
        <w:ind w:left="300"/>
      </w:pPr>
      <w:r>
        <w:rPr>
          <w:b/>
          <w:bCs/>
          <w:color w:val="1F3864"/>
          <w:sz w:val="22"/>
          <w:szCs w:val="22"/>
        </w:rPr>
        <w:t xml:space="preserve">• </w:t>
      </w:r>
      <w:r>
        <w:rPr>
          <w:b/>
          <w:bCs/>
          <w:i w:val="false"/>
          <w:iCs w:val="false"/>
          <w:sz w:val="22"/>
          <w:szCs w:val="22"/>
        </w:rPr>
        <w:t xml:space="preserve">`validar_calidad()`</w:t>
      </w:r>
      <w:r>
        <w:rPr>
          <w:b w:val="false"/>
          <w:bCs w:val="false"/>
          <w:i w:val="false"/>
          <w:iCs w:val="false"/>
          <w:sz w:val="22"/>
          <w:szCs w:val="22"/>
        </w:rPr>
        <w:t xml:space="preserve">: función de diagnóstico que no modifica datos, solo reporta: duplicados, nulos por columna, rangos sospechosos de profundidad, producción negativa y cobertura temporal. Pensada como insumo directo para el EDA.</w:t>
      </w:r>
    </w:p>
    <w:p>
      <w:pPr>
        <w:spacing w:after="160"/>
        <w:jc w:val="both"/>
      </w:pPr>
      <w:r>
        <w:rPr>
          <w:b w:val="false"/>
          <w:bCs w:val="false"/>
          <w:i w:val="false"/>
          <w:iCs w:val="false"/>
          <w:sz w:val="22"/>
          <w:szCs w:val="22"/>
        </w:rPr>
        <w:t xml:space="preserve">Decisión de diseño: las rutas se resuelven de forma relativa a la ubicación del script (no al directorio desde donde se ejecuta), evitando el problema de rutas absolutas que exige evitar la consigna de reproducibilidad del curso.</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5. Resultados obtenidos hasta el momento</w:t>
      </w:r>
    </w:p>
    <w:p>
      <w:pPr>
        <w:pStyle w:val="Heading2"/>
        <w:spacing w:after="140" w:before="280"/>
      </w:pPr>
      <w:r>
        <w:rPr>
          <w:b/>
          <w:bCs/>
          <w:i w:val="false"/>
          <w:iCs w:val="false"/>
          <w:color w:val="2E5395"/>
          <w:sz w:val="24"/>
          <w:szCs w:val="24"/>
        </w:rPr>
        <w:t xml:space="preserve">5.1 Dimensiones y cobertura</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4675"/>
            <w:shd w:fill="1F3864" w:val="clear"/>
            <w:tcMar>
              <w:top w:type="dxa" w:w="80"/>
              <w:left w:type="dxa" w:w="120"/>
              <w:bottom w:type="dxa" w:w="80"/>
              <w:right w:type="dxa" w:w="120"/>
            </w:tcMar>
            <w:vAlign w:val="center"/>
          </w:tcPr>
          <w:p>
            <w:r>
              <w:rPr>
                <w:b/>
                <w:bCs/>
                <w:i w:val="false"/>
                <w:iCs w:val="false"/>
                <w:color w:val="FFFFFF"/>
                <w:sz w:val="20"/>
                <w:szCs w:val="20"/>
              </w:rPr>
              <w:t xml:space="preserve">Valor</w:t>
            </w:r>
          </w:p>
        </w:tc>
      </w:tr>
      <w:tr>
        <w:trPr>
          <w:tblHeader w:val="false"/>
        </w:trPr>
        <w:tc>
          <w:tcPr>
            <w:tcW w:type="dxa" w:w="4675"/>
            <w:tcMar>
              <w:top w:type="dxa" w:w="80"/>
              <w:left w:type="dxa" w:w="120"/>
              <w:bottom w:type="dxa" w:w="80"/>
              <w:right w:type="dxa" w:w="120"/>
            </w:tcMar>
            <w:vAlign w:val="center"/>
          </w:tcPr>
          <w:p>
            <w:r>
              <w:rPr>
                <w:b w:val="false"/>
                <w:bCs w:val="false"/>
                <w:i w:val="false"/>
                <w:iCs w:val="false"/>
                <w:sz w:val="20"/>
                <w:szCs w:val="20"/>
              </w:rPr>
              <w:t xml:space="preserve">Filas totales</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421.046</w:t>
            </w:r>
          </w:p>
        </w:tc>
      </w:tr>
      <w:tr>
        <w:trPr>
          <w:tblHeader w:val="false"/>
        </w:trPr>
        <w:tc>
          <w:tcPr>
            <w:tcW w:type="dxa" w:w="4675"/>
            <w:tcMar>
              <w:top w:type="dxa" w:w="80"/>
              <w:left w:type="dxa" w:w="120"/>
              <w:bottom w:type="dxa" w:w="80"/>
              <w:right w:type="dxa" w:w="120"/>
            </w:tcMar>
            <w:vAlign w:val="center"/>
          </w:tcPr>
          <w:p>
            <w:r>
              <w:rPr>
                <w:b w:val="false"/>
                <w:bCs w:val="false"/>
                <w:i w:val="false"/>
                <w:iCs w:val="false"/>
                <w:sz w:val="20"/>
                <w:szCs w:val="20"/>
              </w:rPr>
              <w:t xml:space="preserve">Columnas</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40</w:t>
            </w:r>
          </w:p>
        </w:tc>
      </w:tr>
      <w:tr>
        <w:trPr>
          <w:tblHeader w:val="false"/>
        </w:trPr>
        <w:tc>
          <w:tcPr>
            <w:tcW w:type="dxa" w:w="4675"/>
            <w:tcMar>
              <w:top w:type="dxa" w:w="80"/>
              <w:left w:type="dxa" w:w="120"/>
              <w:bottom w:type="dxa" w:w="80"/>
              <w:right w:type="dxa" w:w="120"/>
            </w:tcMar>
            <w:vAlign w:val="center"/>
          </w:tcPr>
          <w:p>
            <w:r>
              <w:rPr>
                <w:b w:val="false"/>
                <w:bCs w:val="false"/>
                <w:i w:val="false"/>
                <w:iCs w:val="false"/>
                <w:sz w:val="20"/>
                <w:szCs w:val="20"/>
              </w:rPr>
              <w:t xml:space="preserve">Rango temporal</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2006 – 2026</w:t>
            </w:r>
          </w:p>
        </w:tc>
      </w:tr>
      <w:tr>
        <w:trPr>
          <w:tblHeader w:val="false"/>
        </w:trPr>
        <w:tc>
          <w:tcPr>
            <w:tcW w:type="dxa" w:w="4675"/>
            <w:tcMar>
              <w:top w:type="dxa" w:w="80"/>
              <w:left w:type="dxa" w:w="120"/>
              <w:bottom w:type="dxa" w:w="80"/>
              <w:right w:type="dxa" w:w="120"/>
            </w:tcMar>
            <w:vAlign w:val="center"/>
          </w:tcPr>
          <w:p>
            <w:r>
              <w:rPr>
                <w:b w:val="false"/>
                <w:bCs w:val="false"/>
                <w:i w:val="false"/>
                <w:iCs w:val="false"/>
                <w:sz w:val="20"/>
                <w:szCs w:val="20"/>
              </w:rPr>
              <w:t xml:space="preserve">Duplicados (pozo-año-mes)</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0</w:t>
            </w:r>
          </w:p>
        </w:tc>
      </w:tr>
    </w:tbl>
    <w:p>
      <w:pPr>
        <w:spacing w:after="160"/>
      </w:pPr>
    </w:p>
    <w:p>
      <w:pPr>
        <w:pStyle w:val="Heading2"/>
        <w:spacing w:after="140" w:before="280"/>
      </w:pPr>
      <w:r>
        <w:rPr>
          <w:b/>
          <w:bCs/>
          <w:i w:val="false"/>
          <w:iCs w:val="false"/>
          <w:color w:val="2E5395"/>
          <w:sz w:val="24"/>
          <w:szCs w:val="24"/>
        </w:rPr>
        <w:t xml:space="preserve">5.2 Columnas con valores nulos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3116"/>
        <w:gridCol w:w="3116"/>
        <w:gridCol w:w="3116"/>
      </w:tblGrid>
      <w:tr>
        <w:trPr>
          <w:tblHeader/>
        </w:trPr>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Columna</w:t>
            </w:r>
          </w:p>
        </w:tc>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Nulos</w:t>
            </w:r>
          </w:p>
        </w:tc>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 aprox. sobre 421.046</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vida_util</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412.082</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~97.9%</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observaciones</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397.045</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~94.3%</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clasificacion</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922</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~0.2%</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subclasificacion</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922</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~0.2%</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tipoextraccion</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614</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~0.15%</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tipoestado</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614</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~0.15%</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tipopozo</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614</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~0.15%</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sub_tipo_recurso</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452</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~0.1%</w:t>
            </w:r>
          </w:p>
        </w:tc>
      </w:tr>
    </w:tbl>
    <w:p>
      <w:pPr>
        <w:spacing w:after="160"/>
      </w:pPr>
    </w:p>
    <w:p>
      <w:pPr>
        <w:pStyle w:val="Heading2"/>
        <w:spacing w:after="140" w:before="280"/>
      </w:pPr>
      <w:r>
        <w:rPr>
          <w:b/>
          <w:bCs/>
          <w:i w:val="false"/>
          <w:iCs w:val="false"/>
          <w:color w:val="2E5395"/>
          <w:sz w:val="24"/>
          <w:szCs w:val="24"/>
        </w:rPr>
        <w:t xml:space="preserve">5.3 Anomalías detectadas (diagnóstico inicial)</w:t>
      </w:r>
    </w:p>
    <w:p>
      <w:pPr>
        <w:spacing w:after="100"/>
        <w:ind w:left="300"/>
      </w:pPr>
      <w:r>
        <w:rPr>
          <w:b/>
          <w:bCs/>
          <w:color w:val="1F3864"/>
          <w:sz w:val="22"/>
          <w:szCs w:val="22"/>
        </w:rPr>
        <w:t xml:space="preserve">• </w:t>
      </w:r>
      <w:r>
        <w:rPr>
          <w:b/>
          <w:bCs/>
          <w:i w:val="false"/>
          <w:iCs w:val="false"/>
          <w:sz w:val="22"/>
          <w:szCs w:val="22"/>
        </w:rPr>
        <w:t xml:space="preserve">Profundidad:</w:t>
      </w:r>
      <w:r>
        <w:rPr>
          <w:b w:val="false"/>
          <w:bCs w:val="false"/>
          <w:i w:val="false"/>
          <w:iCs w:val="false"/>
          <w:sz w:val="22"/>
          <w:szCs w:val="22"/>
        </w:rPr>
        <w:t xml:space="preserve"> rango observado de 0 a 378.939 (unidad esperada: metros). 122 registros superan los 10.000, lo cual es físicamente imposible para un pozo real.</w:t>
      </w:r>
    </w:p>
    <w:p>
      <w:pPr>
        <w:spacing w:after="100"/>
        <w:ind w:left="300"/>
      </w:pPr>
      <w:r>
        <w:rPr>
          <w:b/>
          <w:bCs/>
          <w:color w:val="1F3864"/>
          <w:sz w:val="22"/>
          <w:szCs w:val="22"/>
        </w:rPr>
        <w:t xml:space="preserve">• </w:t>
      </w:r>
      <w:r>
        <w:rPr>
          <w:b/>
          <w:bCs/>
          <w:i w:val="false"/>
          <w:iCs w:val="false"/>
          <w:sz w:val="22"/>
          <w:szCs w:val="22"/>
        </w:rPr>
        <w:t xml:space="preserve">Producción negativa:</w:t>
      </w:r>
      <w:r>
        <w:rPr>
          <w:b w:val="false"/>
          <w:bCs w:val="false"/>
          <w:i w:val="false"/>
          <w:iCs w:val="false"/>
          <w:sz w:val="22"/>
          <w:szCs w:val="22"/>
        </w:rPr>
        <w:t xml:space="preserve"> 1 registro con </w:t>
      </w:r>
      <w:r>
        <w:rPr>
          <w:rFonts w:ascii="Consolas" w:cs="Consolas" w:eastAsia="Consolas" w:hAnsi="Consolas"/>
          <w:b w:val="false"/>
          <w:bCs w:val="false"/>
          <w:color w:val="C0392B"/>
          <w:sz w:val="20"/>
          <w:szCs w:val="20"/>
          <w:shd w:fill="F0F0F0" w:val="clear"/>
        </w:rPr>
        <w:t xml:space="preserve">prod_pet</w:t>
      </w:r>
      <w:r>
        <w:rPr>
          <w:b w:val="false"/>
          <w:bCs w:val="false"/>
          <w:i w:val="false"/>
          <w:iCs w:val="false"/>
          <w:sz w:val="22"/>
          <w:szCs w:val="22"/>
        </w:rPr>
        <w:t xml:space="preserve"> negativo y 2 con </w:t>
      </w:r>
      <w:r>
        <w:rPr>
          <w:rFonts w:ascii="Consolas" w:cs="Consolas" w:eastAsia="Consolas" w:hAnsi="Consolas"/>
          <w:b w:val="false"/>
          <w:bCs w:val="false"/>
          <w:color w:val="C0392B"/>
          <w:sz w:val="20"/>
          <w:szCs w:val="20"/>
          <w:shd w:fill="F0F0F0" w:val="clear"/>
        </w:rPr>
        <w:t xml:space="preserve">prod_gas</w:t>
      </w:r>
      <w:r>
        <w:rPr>
          <w:b w:val="false"/>
          <w:bCs w:val="false"/>
          <w:i w:val="false"/>
          <w:iCs w:val="false"/>
          <w:sz w:val="22"/>
          <w:szCs w:val="22"/>
        </w:rPr>
        <w:t xml:space="preserve"> negativo, sobre 421.046 filas — volumen insignificante pero sin sentido físico.</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6. </w:t>
      </w:r>
      <w:r>
        <w:rPr>
          <w:rFonts w:ascii="Consolas" w:cs="Consolas" w:eastAsia="Consolas" w:hAnsi="Consolas"/>
          <w:b/>
          <w:bCs/>
          <w:color w:val="1F3864"/>
          <w:sz w:val="30"/>
          <w:szCs w:val="30"/>
        </w:rPr>
        <w:t xml:space="preserve">notebooks/01_eda_limpieza.ipynb</w:t>
      </w:r>
      <w:r>
        <w:rPr>
          <w:b/>
          <w:bCs/>
          <w:i w:val="false"/>
          <w:iCs w:val="false"/>
          <w:color w:val="1F3864"/>
          <w:sz w:val="30"/>
          <w:szCs w:val="30"/>
        </w:rPr>
        <w:t xml:space="preserve"> — EDA visual</w:t>
      </w:r>
    </w:p>
    <w:p>
      <w:pPr>
        <w:spacing w:after="160"/>
        <w:jc w:val="both"/>
      </w:pPr>
      <w:r>
        <w:rPr>
          <w:b w:val="false"/>
          <w:bCs w:val="false"/>
          <w:i w:val="false"/>
          <w:iCs w:val="false"/>
          <w:sz w:val="22"/>
          <w:szCs w:val="22"/>
        </w:rPr>
        <w:t xml:space="preserve">Se construyó el notebook de EDA para visualizar las anomalías antes de decidir cómo tratarlas. Estructura: carga de datos (reutilizando </w:t>
      </w:r>
      <w:r>
        <w:rPr>
          <w:rFonts w:ascii="Consolas" w:cs="Consolas" w:eastAsia="Consolas" w:hAnsi="Consolas"/>
          <w:b w:val="false"/>
          <w:bCs w:val="false"/>
          <w:color w:val="C0392B"/>
          <w:sz w:val="20"/>
          <w:szCs w:val="20"/>
          <w:shd w:fill="F0F0F0" w:val="clear"/>
        </w:rPr>
        <w:t xml:space="preserve">data_loader.py</w:t>
      </w:r>
      <w:r>
        <w:rPr>
          <w:b w:val="false"/>
          <w:bCs w:val="false"/>
          <w:i w:val="false"/>
          <w:iCs w:val="false"/>
          <w:sz w:val="22"/>
          <w:szCs w:val="22"/>
        </w:rPr>
        <w:t xml:space="preserve">), gráfico de % de nulos por columna, histogramas de </w:t>
      </w:r>
      <w:r>
        <w:rPr>
          <w:rFonts w:ascii="Consolas" w:cs="Consolas" w:eastAsia="Consolas" w:hAnsi="Consolas"/>
          <w:b w:val="false"/>
          <w:bCs w:val="false"/>
          <w:color w:val="C0392B"/>
          <w:sz w:val="20"/>
          <w:szCs w:val="20"/>
          <w:shd w:fill="F0F0F0" w:val="clear"/>
        </w:rPr>
        <w:t xml:space="preserve">profundidad</w:t>
      </w:r>
      <w:r>
        <w:rPr>
          <w:b w:val="false"/>
          <w:bCs w:val="false"/>
          <w:i w:val="false"/>
          <w:iCs w:val="false"/>
          <w:sz w:val="22"/>
          <w:szCs w:val="22"/>
        </w:rPr>
        <w:t xml:space="preserve"> (completo y con zoom 1-10.000) con tabla de los 20 casos más extremos, histogramas y tabla de producción negativa, boxplots de las tres variables clave, y serie temporal de producción total anual.</w:t>
      </w:r>
    </w:p>
    <w:p>
      <w:pPr>
        <w:spacing w:after="160"/>
        <w:jc w:val="both"/>
      </w:pPr>
      <w:r>
        <w:rPr>
          <w:b/>
          <w:bCs/>
          <w:i w:val="false"/>
          <w:iCs w:val="false"/>
          <w:sz w:val="22"/>
          <w:szCs w:val="22"/>
        </w:rPr>
        <w:t xml:space="preserve">Entorno:</w:t>
      </w:r>
      <w:r>
        <w:rPr>
          <w:b w:val="false"/>
          <w:bCs w:val="false"/>
          <w:i w:val="false"/>
          <w:iCs w:val="false"/>
          <w:sz w:val="22"/>
          <w:szCs w:val="22"/>
        </w:rPr>
        <w:t xml:space="preserve"> se instalaron </w:t>
      </w:r>
      <w:r>
        <w:rPr>
          <w:rFonts w:ascii="Consolas" w:cs="Consolas" w:eastAsia="Consolas" w:hAnsi="Consolas"/>
          <w:b w:val="false"/>
          <w:bCs w:val="false"/>
          <w:color w:val="C0392B"/>
          <w:sz w:val="20"/>
          <w:szCs w:val="20"/>
          <w:shd w:fill="F0F0F0" w:val="clear"/>
        </w:rPr>
        <w:t xml:space="preserve">matplotlib</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seaborn</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jupyter</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ipykernel</w:t>
      </w:r>
      <w:r>
        <w:rPr>
          <w:b w:val="false"/>
          <w:bCs w:val="false"/>
          <w:i w:val="false"/>
          <w:iCs w:val="false"/>
          <w:sz w:val="22"/>
          <w:szCs w:val="22"/>
        </w:rPr>
        <w:t xml:space="preserve"> dentro del </w:t>
      </w:r>
      <w:r>
        <w:rPr>
          <w:rFonts w:ascii="Consolas" w:cs="Consolas" w:eastAsia="Consolas" w:hAnsi="Consolas"/>
          <w:b w:val="false"/>
          <w:bCs w:val="false"/>
          <w:color w:val="C0392B"/>
          <w:sz w:val="20"/>
          <w:szCs w:val="20"/>
          <w:shd w:fill="F0F0F0" w:val="clear"/>
        </w:rPr>
        <w:t xml:space="preserve">venv</w:t>
      </w:r>
      <w:r>
        <w:rPr>
          <w:b w:val="false"/>
          <w:bCs w:val="false"/>
          <w:i w:val="false"/>
          <w:iCs w:val="false"/>
          <w:sz w:val="22"/>
          <w:szCs w:val="22"/>
        </w:rPr>
        <w:t xml:space="preserve"> y se actualizó </w:t>
      </w:r>
      <w:r>
        <w:rPr>
          <w:rFonts w:ascii="Consolas" w:cs="Consolas" w:eastAsia="Consolas" w:hAnsi="Consolas"/>
          <w:b w:val="false"/>
          <w:bCs w:val="false"/>
          <w:color w:val="C0392B"/>
          <w:sz w:val="20"/>
          <w:szCs w:val="20"/>
          <w:shd w:fill="F0F0F0" w:val="clear"/>
        </w:rPr>
        <w:t xml:space="preserve">requirements.txt</w:t>
      </w:r>
      <w:r>
        <w:rPr>
          <w:b w:val="false"/>
          <w:bCs w:val="false"/>
          <w:i w:val="false"/>
          <w:iCs w:val="false"/>
          <w:sz w:val="22"/>
          <w:szCs w:val="22"/>
        </w:rPr>
        <w:t xml:space="preserve">.</w:t>
      </w:r>
    </w:p>
    <w:p>
      <w:pPr>
        <w:pStyle w:val="Heading2"/>
        <w:spacing w:after="140" w:before="280"/>
      </w:pPr>
      <w:r>
        <w:rPr>
          <w:b/>
          <w:bCs/>
          <w:i w:val="false"/>
          <w:iCs w:val="false"/>
          <w:color w:val="2E5395"/>
          <w:sz w:val="24"/>
          <w:szCs w:val="24"/>
        </w:rPr>
        <w:t xml:space="preserve">Hallazgos confirmados con los gráficos</w:t>
      </w:r>
    </w:p>
    <w:p>
      <w:pPr>
        <w:spacing w:after="100"/>
        <w:ind w:left="300"/>
      </w:pPr>
      <w:r>
        <w:rPr>
          <w:b/>
          <w:bCs/>
          <w:color w:val="1F3864"/>
          <w:sz w:val="22"/>
          <w:szCs w:val="22"/>
        </w:rPr>
        <w:t xml:space="preserve">• </w:t>
      </w:r>
      <w:r>
        <w:rPr>
          <w:b/>
          <w:bCs/>
          <w:i w:val="false"/>
          <w:iCs w:val="false"/>
          <w:sz w:val="22"/>
          <w:szCs w:val="22"/>
        </w:rPr>
        <w:t xml:space="preserve">Profundidad &gt;10.000 — un solo pozo, no ruido disperso:</w:t>
      </w:r>
      <w:r>
        <w:rPr>
          <w:b w:val="false"/>
          <w:bCs w:val="false"/>
          <w:i w:val="false"/>
          <w:iCs w:val="false"/>
          <w:sz w:val="22"/>
          <w:szCs w:val="22"/>
        </w:rPr>
        <w:t xml:space="preserve"> los 122 registros sospechosos corresponden todos al mismo pozo (</w:t>
      </w:r>
      <w:r>
        <w:rPr>
          <w:rFonts w:ascii="Consolas" w:cs="Consolas" w:eastAsia="Consolas" w:hAnsi="Consolas"/>
          <w:b w:val="false"/>
          <w:bCs w:val="false"/>
          <w:color w:val="C0392B"/>
          <w:sz w:val="20"/>
          <w:szCs w:val="20"/>
          <w:shd w:fill="F0F0F0" w:val="clear"/>
        </w:rPr>
        <w:t xml:space="preserve">idpozo 156804</w:t>
      </w:r>
      <w:r>
        <w:rPr>
          <w:b w:val="false"/>
          <w:bCs w:val="false"/>
          <w:i w:val="false"/>
          <w:iCs w:val="false"/>
          <w:sz w:val="22"/>
          <w:szCs w:val="22"/>
        </w:rPr>
        <w:t xml:space="preserve">, formación "lajas"), con el valor 378.939 repetido en cada uno de sus registros mensuales a lo largo de los años — es un error puntual de carga en origen, no un conjunto de outliers estadísticos independientes.</w:t>
      </w:r>
    </w:p>
    <w:p>
      <w:pPr>
        <w:spacing w:after="100"/>
        <w:ind w:left="300"/>
      </w:pPr>
      <w:r>
        <w:rPr>
          <w:b/>
          <w:bCs/>
          <w:color w:val="1F3864"/>
          <w:sz w:val="22"/>
          <w:szCs w:val="22"/>
        </w:rPr>
        <w:t xml:space="preserve">• </w:t>
      </w:r>
      <w:r>
        <w:rPr>
          <w:b/>
          <w:bCs/>
          <w:i w:val="false"/>
          <w:iCs w:val="false"/>
          <w:sz w:val="22"/>
          <w:szCs w:val="22"/>
        </w:rPr>
        <w:t xml:space="preserve">Profundidad = 0:</w:t>
      </w:r>
      <w:r>
        <w:rPr>
          <w:b w:val="false"/>
          <w:bCs w:val="false"/>
          <w:i w:val="false"/>
          <w:iCs w:val="false"/>
          <w:sz w:val="22"/>
          <w:szCs w:val="22"/>
        </w:rPr>
        <w:t xml:space="preserve"> 5.738 filas, pero correspondientes a </w:t>
      </w:r>
      <w:r>
        <w:rPr>
          <w:b/>
          <w:bCs/>
          <w:i w:val="false"/>
          <w:iCs w:val="false"/>
          <w:sz w:val="22"/>
          <w:szCs w:val="22"/>
        </w:rPr>
        <w:t xml:space="preserve">164 pozos distintos</w:t>
      </w:r>
      <w:r>
        <w:rPr>
          <w:b w:val="false"/>
          <w:bCs w:val="false"/>
          <w:i w:val="false"/>
          <w:iCs w:val="false"/>
          <w:sz w:val="22"/>
          <w:szCs w:val="22"/>
        </w:rPr>
        <w:t xml:space="preserve"> — a diferencia del caso anterior, sí se trata como dato faltante genuino (el campo nunca se cargó para esos pozos).</w:t>
      </w:r>
    </w:p>
    <w:p>
      <w:pPr>
        <w:spacing w:after="100"/>
        <w:ind w:left="300"/>
      </w:pPr>
      <w:r>
        <w:rPr>
          <w:b/>
          <w:bCs/>
          <w:color w:val="1F3864"/>
          <w:sz w:val="22"/>
          <w:szCs w:val="22"/>
        </w:rPr>
        <w:t xml:space="preserve">• </w:t>
      </w:r>
      <w:r>
        <w:rPr>
          <w:b/>
          <w:bCs/>
          <w:i w:val="false"/>
          <w:iCs w:val="false"/>
          <w:sz w:val="22"/>
          <w:szCs w:val="22"/>
        </w:rPr>
        <w:t xml:space="preserve">Producción (`prod_pet`, `prod_gas`):</w:t>
      </w:r>
      <w:r>
        <w:rPr>
          <w:b w:val="false"/>
          <w:bCs w:val="false"/>
          <w:i w:val="false"/>
          <w:iCs w:val="false"/>
          <w:sz w:val="22"/>
          <w:szCs w:val="22"/>
        </w:rPr>
        <w:t xml:space="preserve"> distribución fuertemente sesgada a la derecha, comportamiento esperado en datos de producción de hidrocarburos (muchos pozos de baja producción, pocos de alta). A tener en cuenta para aplicar </w:t>
      </w:r>
      <w:r>
        <w:rPr>
          <w:rFonts w:ascii="Consolas" w:cs="Consolas" w:eastAsia="Consolas" w:hAnsi="Consolas"/>
          <w:b w:val="false"/>
          <w:bCs w:val="false"/>
          <w:color w:val="C0392B"/>
          <w:sz w:val="20"/>
          <w:szCs w:val="20"/>
          <w:shd w:fill="F0F0F0" w:val="clear"/>
        </w:rPr>
        <w:t xml:space="preserve">log1p</w:t>
      </w:r>
      <w:r>
        <w:rPr>
          <w:b w:val="false"/>
          <w:bCs w:val="false"/>
          <w:i w:val="false"/>
          <w:iCs w:val="false"/>
          <w:sz w:val="22"/>
          <w:szCs w:val="22"/>
        </w:rPr>
        <w:t xml:space="preserve"> en el feature engineering.</w:t>
      </w:r>
    </w:p>
    <w:p>
      <w:pPr>
        <w:spacing w:after="100"/>
        <w:ind w:left="300"/>
      </w:pPr>
      <w:r>
        <w:rPr>
          <w:b/>
          <w:bCs/>
          <w:color w:val="1F3864"/>
          <w:sz w:val="22"/>
          <w:szCs w:val="22"/>
        </w:rPr>
        <w:t xml:space="preserve">• </w:t>
      </w:r>
      <w:r>
        <w:rPr>
          <w:b/>
          <w:bCs/>
          <w:i w:val="false"/>
          <w:iCs w:val="false"/>
          <w:sz w:val="22"/>
          <w:szCs w:val="22"/>
        </w:rPr>
        <w:t xml:space="preserve">Producción negativa:</w:t>
      </w:r>
      <w:r>
        <w:rPr>
          <w:b w:val="false"/>
          <w:bCs w:val="false"/>
          <w:i w:val="false"/>
          <w:iCs w:val="false"/>
          <w:sz w:val="22"/>
          <w:szCs w:val="22"/>
        </w:rPr>
        <w:t xml:space="preserve"> las 3 filas confirmadas tienen magnitudes chicas (-12, -7, -0.001), consistentes con correcciones/rectificaciones cargadas con signo.</w:t>
      </w:r>
    </w:p>
    <w:p>
      <w:pPr>
        <w:spacing w:after="100"/>
        <w:ind w:left="300"/>
      </w:pPr>
      <w:r>
        <w:rPr>
          <w:b/>
          <w:bCs/>
          <w:color w:val="1F3864"/>
          <w:sz w:val="22"/>
          <w:szCs w:val="22"/>
        </w:rPr>
        <w:t xml:space="preserve">• </w:t>
      </w:r>
      <w:r>
        <w:rPr>
          <w:b/>
          <w:bCs/>
          <w:i w:val="false"/>
          <w:iCs w:val="false"/>
          <w:sz w:val="22"/>
          <w:szCs w:val="22"/>
        </w:rPr>
        <w:t xml:space="preserve">Serie temporal (datos crudos):</w:t>
      </w:r>
      <w:r>
        <w:rPr>
          <w:b w:val="false"/>
          <w:bCs w:val="false"/>
          <w:i w:val="false"/>
          <w:iCs w:val="false"/>
          <w:sz w:val="22"/>
          <w:szCs w:val="22"/>
        </w:rPr>
        <w:t xml:space="preserve"> curva de crecimiento exponencial 2006-2025 esperable del boom de Vaca Muerta, pero con una </w:t>
      </w:r>
      <w:r>
        <w:rPr>
          <w:b/>
          <w:bCs/>
          <w:i w:val="false"/>
          <w:iCs w:val="false"/>
          <w:sz w:val="22"/>
          <w:szCs w:val="22"/>
        </w:rPr>
        <w:t xml:space="preserve">caída artificial en 2026</w:t>
      </w:r>
      <w:r>
        <w:rPr>
          <w:b w:val="false"/>
          <w:bCs w:val="false"/>
          <w:i w:val="false"/>
          <w:iCs w:val="false"/>
          <w:sz w:val="22"/>
          <w:szCs w:val="22"/>
        </w:rPr>
        <w:t xml:space="preserve"> — el dataset todavía no tiene los 12 meses cargados para ese año (no es una caída real de producción).</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7. </w:t>
      </w:r>
      <w:r>
        <w:rPr>
          <w:rFonts w:ascii="Consolas" w:cs="Consolas" w:eastAsia="Consolas" w:hAnsi="Consolas"/>
          <w:b/>
          <w:bCs/>
          <w:color w:val="1F3864"/>
          <w:sz w:val="30"/>
          <w:szCs w:val="30"/>
        </w:rPr>
        <w:t xml:space="preserve">src/preprocessor.py</w:t>
      </w:r>
      <w:r>
        <w:rPr>
          <w:b/>
          <w:bCs/>
          <w:i w:val="false"/>
          <w:iCs w:val="false"/>
          <w:color w:val="1F3864"/>
          <w:sz w:val="30"/>
          <w:szCs w:val="30"/>
        </w:rPr>
        <w:t xml:space="preserve"> — reglas de limpieza implementadas</w:t>
      </w:r>
    </w:p>
    <w:p>
      <w:pPr>
        <w:spacing w:after="160"/>
        <w:jc w:val="both"/>
      </w:pPr>
      <w:r>
        <w:rPr>
          <w:b w:val="false"/>
          <w:bCs w:val="false"/>
          <w:i w:val="false"/>
          <w:iCs w:val="false"/>
          <w:sz w:val="22"/>
          <w:szCs w:val="22"/>
        </w:rPr>
        <w:t xml:space="preserve">Módulo con responsabilidad de transformación (a diferencia de </w:t>
      </w:r>
      <w:r>
        <w:rPr>
          <w:rFonts w:ascii="Consolas" w:cs="Consolas" w:eastAsia="Consolas" w:hAnsi="Consolas"/>
          <w:b w:val="false"/>
          <w:bCs w:val="false"/>
          <w:color w:val="C0392B"/>
          <w:sz w:val="20"/>
          <w:szCs w:val="20"/>
          <w:shd w:fill="F0F0F0" w:val="clear"/>
        </w:rPr>
        <w:t xml:space="preserve">data_loader.py</w:t>
      </w:r>
      <w:r>
        <w:rPr>
          <w:b w:val="false"/>
          <w:bCs w:val="false"/>
          <w:i w:val="false"/>
          <w:iCs w:val="false"/>
          <w:sz w:val="22"/>
          <w:szCs w:val="22"/>
        </w:rPr>
        <w:t xml:space="preserve">, que solo lee y valida). Cada función recibe un DataFrame y devuelve uno nuevo (sin modificar in-place), permitiendo encadenarlas en </w:t>
      </w:r>
      <w:r>
        <w:rPr>
          <w:rFonts w:ascii="Consolas" w:cs="Consolas" w:eastAsia="Consolas" w:hAnsi="Consolas"/>
          <w:b w:val="false"/>
          <w:bCs w:val="false"/>
          <w:color w:val="C0392B"/>
          <w:sz w:val="20"/>
          <w:szCs w:val="20"/>
          <w:shd w:fill="F0F0F0" w:val="clear"/>
        </w:rPr>
        <w:t xml:space="preserve">pipeline_preprocesamiento()</w:t>
      </w:r>
      <w:r>
        <w:rPr>
          <w:b w:val="false"/>
          <w:bCs w:val="false"/>
          <w:i w:val="false"/>
          <w:iCs w:val="false"/>
          <w:sz w:val="22"/>
          <w:szCs w:val="22"/>
        </w:rPr>
        <w:t xml:space="preserve">:</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r>
              <w:rPr>
                <w:b/>
                <w:bCs/>
                <w:i w:val="false"/>
                <w:iCs w:val="false"/>
                <w:color w:val="FFFFFF"/>
                <w:sz w:val="20"/>
                <w:szCs w:val="20"/>
              </w:rPr>
              <w:t xml:space="preserve">Función</w:t>
            </w:r>
          </w:p>
        </w:tc>
        <w:tc>
          <w:tcPr>
            <w:tcW w:type="dxa" w:w="4675"/>
            <w:shd w:fill="1F3864" w:val="clear"/>
            <w:tcMar>
              <w:top w:type="dxa" w:w="80"/>
              <w:left w:type="dxa" w:w="120"/>
              <w:bottom w:type="dxa" w:w="80"/>
              <w:right w:type="dxa" w:w="120"/>
            </w:tcMar>
            <w:vAlign w:val="center"/>
          </w:tcPr>
          <w:p>
            <w:r>
              <w:rPr>
                <w:b/>
                <w:bCs/>
                <w:i w:val="false"/>
                <w:iCs w:val="false"/>
                <w:color w:val="FFFFFF"/>
                <w:sz w:val="20"/>
                <w:szCs w:val="20"/>
              </w:rPr>
              <w:t xml:space="preserve">Regla aplicada</w:t>
            </w:r>
          </w:p>
        </w:tc>
      </w:tr>
      <w:tr>
        <w:trPr>
          <w:tblHeader w:val="false"/>
        </w:trPr>
        <w:tc>
          <w:tcPr>
            <w:tcW w:type="dxa" w:w="4675"/>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descartar_columnas_vacias</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Elimina </w:t>
            </w:r>
            <w:r>
              <w:rPr>
                <w:rFonts w:ascii="Consolas" w:cs="Consolas" w:eastAsia="Consolas" w:hAnsi="Consolas"/>
                <w:b w:val="false"/>
                <w:bCs w:val="false"/>
                <w:color w:val="C0392B"/>
                <w:sz w:val="20"/>
                <w:szCs w:val="20"/>
                <w:shd w:fill="F0F0F0" w:val="clear"/>
              </w:rPr>
              <w:t xml:space="preserve">vida_util</w:t>
            </w:r>
            <w:r>
              <w:rPr>
                <w:b w:val="false"/>
                <w:bCs w:val="false"/>
                <w:i w:val="false"/>
                <w:iCs w:val="false"/>
                <w:sz w:val="20"/>
                <w:szCs w:val="20"/>
              </w:rPr>
              <w:t xml:space="preserve"> y </w:t>
            </w:r>
            <w:r>
              <w:rPr>
                <w:rFonts w:ascii="Consolas" w:cs="Consolas" w:eastAsia="Consolas" w:hAnsi="Consolas"/>
                <w:b w:val="false"/>
                <w:bCs w:val="false"/>
                <w:color w:val="C0392B"/>
                <w:sz w:val="20"/>
                <w:szCs w:val="20"/>
                <w:shd w:fill="F0F0F0" w:val="clear"/>
              </w:rPr>
              <w:t xml:space="preserve">observaciones</w:t>
            </w:r>
            <w:r>
              <w:rPr>
                <w:b w:val="false"/>
                <w:bCs w:val="false"/>
                <w:i w:val="false"/>
                <w:iCs w:val="false"/>
                <w:sz w:val="20"/>
                <w:szCs w:val="20"/>
              </w:rPr>
              <w:t xml:space="preserve"> (&gt;90% nulos)</w:t>
            </w:r>
          </w:p>
        </w:tc>
      </w:tr>
      <w:tr>
        <w:trPr>
          <w:tblHeader w:val="false"/>
        </w:trPr>
        <w:tc>
          <w:tcPr>
            <w:tcW w:type="dxa" w:w="4675"/>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imputar_categoricas</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Imputa con la moda: </w:t>
            </w:r>
            <w:r>
              <w:rPr>
                <w:rFonts w:ascii="Consolas" w:cs="Consolas" w:eastAsia="Consolas" w:hAnsi="Consolas"/>
                <w:b w:val="false"/>
                <w:bCs w:val="false"/>
                <w:color w:val="C0392B"/>
                <w:sz w:val="20"/>
                <w:szCs w:val="20"/>
                <w:shd w:fill="F0F0F0" w:val="clear"/>
              </w:rPr>
              <w:t xml:space="preserve">tipoextraccion</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tipoestado</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tipopozo</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clasificacion</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subclasificacion</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sub_tipo_recurso</w:t>
            </w:r>
            <w:r>
              <w:rPr>
                <w:b w:val="false"/>
                <w:bCs w:val="false"/>
                <w:i w:val="false"/>
                <w:iCs w:val="false"/>
                <w:sz w:val="20"/>
                <w:szCs w:val="20"/>
              </w:rPr>
              <w:t xml:space="preserve"> (nulos &lt;0.25%)</w:t>
            </w:r>
          </w:p>
        </w:tc>
      </w:tr>
      <w:tr>
        <w:trPr>
          <w:tblHeader w:val="false"/>
        </w:trPr>
        <w:tc>
          <w:tcPr>
            <w:tcW w:type="dxa" w:w="4675"/>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corregir_profundidad</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Valores fuera del rango plausible (100–10.000) se tratan como faltantes y se imputan con la </w:t>
            </w:r>
            <w:r>
              <w:rPr>
                <w:b/>
                <w:bCs/>
                <w:i w:val="false"/>
                <w:iCs w:val="false"/>
                <w:sz w:val="20"/>
                <w:szCs w:val="20"/>
              </w:rPr>
              <w:t xml:space="preserve">mediana por formación geológica</w:t>
            </w:r>
            <w:r>
              <w:rPr>
                <w:b w:val="false"/>
                <w:bCs w:val="false"/>
                <w:i w:val="false"/>
                <w:iCs w:val="false"/>
                <w:sz w:val="20"/>
                <w:szCs w:val="20"/>
              </w:rPr>
              <w:t xml:space="preserve"> (no mediana global, porque la profundidad varía según formación). Esta regla genérica resuelve tanto el caso del pozo 156804 como los 164 pozos con profundidad = 0, sin necesidad de excepciones manuales por ID.</w:t>
            </w:r>
          </w:p>
        </w:tc>
      </w:tr>
      <w:tr>
        <w:trPr>
          <w:tblHeader w:val="false"/>
        </w:trPr>
        <w:tc>
          <w:tcPr>
            <w:tcW w:type="dxa" w:w="4675"/>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corregir_produccion_negativa</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Clipea a 0 los valores negativos de </w:t>
            </w:r>
            <w:r>
              <w:rPr>
                <w:rFonts w:ascii="Consolas" w:cs="Consolas" w:eastAsia="Consolas" w:hAnsi="Consolas"/>
                <w:b w:val="false"/>
                <w:bCs w:val="false"/>
                <w:color w:val="C0392B"/>
                <w:sz w:val="20"/>
                <w:szCs w:val="20"/>
                <w:shd w:fill="F0F0F0" w:val="clear"/>
              </w:rPr>
              <w:t xml:space="preserve">prod_pet</w:t>
            </w:r>
            <w:r>
              <w:rPr>
                <w:b w:val="false"/>
                <w:bCs w:val="false"/>
                <w:i w:val="false"/>
                <w:iCs w:val="false"/>
                <w:sz w:val="20"/>
                <w:szCs w:val="20"/>
              </w:rPr>
              <w:t xml:space="preserve"> y </w:t>
            </w:r>
            <w:r>
              <w:rPr>
                <w:rFonts w:ascii="Consolas" w:cs="Consolas" w:eastAsia="Consolas" w:hAnsi="Consolas"/>
                <w:b w:val="false"/>
                <w:bCs w:val="false"/>
                <w:color w:val="C0392B"/>
                <w:sz w:val="20"/>
                <w:szCs w:val="20"/>
                <w:shd w:fill="F0F0F0" w:val="clear"/>
              </w:rPr>
              <w:t xml:space="preserve">prod_gas</w:t>
            </w:r>
          </w:p>
        </w:tc>
      </w:tr>
      <w:tr>
        <w:trPr>
          <w:tblHeader w:val="false"/>
        </w:trPr>
        <w:tc>
          <w:tcPr>
            <w:tcW w:type="dxa" w:w="4675"/>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marcar_anio_incompleto</w:t>
            </w:r>
          </w:p>
        </w:tc>
        <w:tc>
          <w:tcPr>
            <w:tcW w:type="dxa" w:w="4675"/>
            <w:tcMar>
              <w:top w:type="dxa" w:w="80"/>
              <w:left w:type="dxa" w:w="120"/>
              <w:bottom w:type="dxa" w:w="80"/>
              <w:right w:type="dxa" w:w="120"/>
            </w:tcMar>
            <w:vAlign w:val="center"/>
          </w:tcPr>
          <w:p>
            <w:r>
              <w:rPr>
                <w:b w:val="false"/>
                <w:bCs w:val="false"/>
                <w:i w:val="false"/>
                <w:iCs w:val="false"/>
                <w:sz w:val="20"/>
                <w:szCs w:val="20"/>
              </w:rPr>
              <w:t xml:space="preserve">Agrega columna booleana </w:t>
            </w:r>
            <w:r>
              <w:rPr>
                <w:rFonts w:ascii="Consolas" w:cs="Consolas" w:eastAsia="Consolas" w:hAnsi="Consolas"/>
                <w:b w:val="false"/>
                <w:bCs w:val="false"/>
                <w:color w:val="C0392B"/>
                <w:sz w:val="20"/>
                <w:szCs w:val="20"/>
                <w:shd w:fill="F0F0F0" w:val="clear"/>
              </w:rPr>
              <w:t xml:space="preserve">anio_completo</w:t>
            </w:r>
            <w:r>
              <w:rPr>
                <w:b w:val="false"/>
                <w:bCs w:val="false"/>
                <w:i w:val="false"/>
                <w:iCs w:val="false"/>
                <w:sz w:val="20"/>
                <w:szCs w:val="20"/>
              </w:rPr>
              <w:t xml:space="preserve"> para poder excluir 2026 de análisis de tendencia anual, sin perder esas filas para el modelado</w:t>
            </w:r>
          </w:p>
        </w:tc>
      </w:tr>
    </w:tbl>
    <w:p>
      <w:pPr>
        <w:spacing w:after="160"/>
      </w:pPr>
    </w:p>
    <w:p>
      <w:pPr>
        <w:pStyle w:val="Heading2"/>
        <w:spacing w:after="140" w:before="280"/>
      </w:pPr>
      <w:r>
        <w:rPr>
          <w:b/>
          <w:bCs/>
          <w:i w:val="false"/>
          <w:iCs w:val="false"/>
          <w:color w:val="2E5395"/>
          <w:sz w:val="24"/>
          <w:szCs w:val="24"/>
        </w:rPr>
        <w:t xml:space="preserve">Verificación de resultados (antes / después)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3116"/>
        <w:gridCol w:w="3116"/>
        <w:gridCol w:w="3116"/>
      </w:tblGrid>
      <w:tr>
        <w:trPr>
          <w:tblHeader/>
        </w:trPr>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Antes</w:t>
            </w:r>
          </w:p>
        </w:tc>
        <w:tc>
          <w:tcPr>
            <w:tcW w:type="dxa" w:w="3116"/>
            <w:shd w:fill="1F3864" w:val="clear"/>
            <w:tcMar>
              <w:top w:type="dxa" w:w="80"/>
              <w:left w:type="dxa" w:w="120"/>
              <w:bottom w:type="dxa" w:w="80"/>
              <w:right w:type="dxa" w:w="120"/>
            </w:tcMar>
            <w:vAlign w:val="center"/>
          </w:tcPr>
          <w:p>
            <w:r>
              <w:rPr>
                <w:b/>
                <w:bCs/>
                <w:i w:val="false"/>
                <w:iCs w:val="false"/>
                <w:color w:val="FFFFFF"/>
                <w:sz w:val="20"/>
                <w:szCs w:val="20"/>
              </w:rPr>
              <w:t xml:space="preserve">Después</w:t>
            </w:r>
          </w:p>
        </w:tc>
      </w:tr>
      <w:tr>
        <w:trPr>
          <w:tblHeader w:val="false"/>
        </w:trPr>
        <w:tc>
          <w:tcPr>
            <w:tcW w:type="dxa" w:w="3116"/>
            <w:tcMar>
              <w:top w:type="dxa" w:w="80"/>
              <w:left w:type="dxa" w:w="120"/>
              <w:bottom w:type="dxa" w:w="80"/>
              <w:right w:type="dxa" w:w="120"/>
            </w:tcMar>
            <w:vAlign w:val="center"/>
          </w:tcPr>
          <w:p>
            <w:r>
              <w:rPr>
                <w:b w:val="false"/>
                <w:bCs w:val="false"/>
                <w:i w:val="false"/>
                <w:iCs w:val="false"/>
                <w:sz w:val="20"/>
                <w:szCs w:val="20"/>
              </w:rPr>
              <w:t xml:space="preserve">Shape</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421.046 × 40</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421.046 × 39</w:t>
            </w:r>
          </w:p>
        </w:tc>
      </w:tr>
      <w:tr>
        <w:trPr>
          <w:tblHeader w:val="false"/>
        </w:trPr>
        <w:tc>
          <w:tcPr>
            <w:tcW w:type="dxa" w:w="3116"/>
            <w:tcMar>
              <w:top w:type="dxa" w:w="80"/>
              <w:left w:type="dxa" w:w="120"/>
              <w:bottom w:type="dxa" w:w="80"/>
              <w:right w:type="dxa" w:w="120"/>
            </w:tcMar>
            <w:vAlign w:val="center"/>
          </w:tcPr>
          <w:p>
            <w:r>
              <w:rPr>
                <w:b w:val="false"/>
                <w:bCs w:val="false"/>
                <w:i w:val="false"/>
                <w:iCs w:val="false"/>
                <w:sz w:val="20"/>
                <w:szCs w:val="20"/>
              </w:rPr>
              <w:t xml:space="preserve">Nulos en </w:t>
            </w:r>
            <w:r>
              <w:rPr>
                <w:rFonts w:ascii="Consolas" w:cs="Consolas" w:eastAsia="Consolas" w:hAnsi="Consolas"/>
                <w:b w:val="false"/>
                <w:bCs w:val="false"/>
                <w:color w:val="C0392B"/>
                <w:sz w:val="20"/>
                <w:szCs w:val="20"/>
                <w:shd w:fill="F0F0F0" w:val="clear"/>
              </w:rPr>
              <w:t xml:space="preserve">profundidad</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122 casos &gt;10.000 + 5.738 en 0</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prod_pet</w:t>
            </w:r>
            <w:r>
              <w:rPr>
                <w:b w:val="false"/>
                <w:bCs w:val="false"/>
                <w:i w:val="false"/>
                <w:iCs w:val="false"/>
                <w:sz w:val="20"/>
                <w:szCs w:val="20"/>
              </w:rPr>
              <w:t xml:space="preserve"> negativa</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1</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w:t>
            </w:r>
          </w:p>
        </w:tc>
      </w:tr>
      <w:tr>
        <w:trPr>
          <w:tblHeader w:val="false"/>
        </w:trPr>
        <w:tc>
          <w:tcPr>
            <w:tcW w:type="dxa" w:w="3116"/>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prod_gas</w:t>
            </w:r>
            <w:r>
              <w:rPr>
                <w:b w:val="false"/>
                <w:bCs w:val="false"/>
                <w:i w:val="false"/>
                <w:iCs w:val="false"/>
                <w:sz w:val="20"/>
                <w:szCs w:val="20"/>
              </w:rPr>
              <w:t xml:space="preserve"> negativa</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2</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0</w:t>
            </w:r>
          </w:p>
        </w:tc>
      </w:tr>
      <w:tr>
        <w:trPr>
          <w:tblHeader w:val="false"/>
        </w:trPr>
        <w:tc>
          <w:tcPr>
            <w:tcW w:type="dxa" w:w="3116"/>
            <w:tcMar>
              <w:top w:type="dxa" w:w="80"/>
              <w:left w:type="dxa" w:w="120"/>
              <w:bottom w:type="dxa" w:w="80"/>
              <w:right w:type="dxa" w:w="120"/>
            </w:tcMar>
            <w:vAlign w:val="center"/>
          </w:tcPr>
          <w:p>
            <w:r>
              <w:rPr>
                <w:b w:val="false"/>
                <w:bCs w:val="false"/>
                <w:i w:val="false"/>
                <w:iCs w:val="false"/>
                <w:sz w:val="20"/>
                <w:szCs w:val="20"/>
              </w:rPr>
              <w:t xml:space="preserve">Filas marcadas año incompleto (2026)</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w:t>
            </w:r>
          </w:p>
        </w:tc>
        <w:tc>
          <w:tcPr>
            <w:tcW w:type="dxa" w:w="3116"/>
            <w:tcMar>
              <w:top w:type="dxa" w:w="80"/>
              <w:left w:type="dxa" w:w="120"/>
              <w:bottom w:type="dxa" w:w="80"/>
              <w:right w:type="dxa" w:w="120"/>
            </w:tcMar>
            <w:vAlign w:val="center"/>
          </w:tcPr>
          <w:p>
            <w:r>
              <w:rPr>
                <w:b w:val="false"/>
                <w:bCs w:val="false"/>
                <w:i w:val="false"/>
                <w:iCs w:val="false"/>
                <w:sz w:val="20"/>
                <w:szCs w:val="20"/>
              </w:rPr>
              <w:t xml:space="preserve">34.386</w:t>
            </w:r>
          </w:p>
        </w:tc>
      </w:tr>
    </w:tbl>
    <w:p>
      <w:pPr>
        <w:spacing w:after="160"/>
      </w:pPr>
    </w:p>
    <w:p>
      <w:pPr>
        <w:pStyle w:val="Heading2"/>
        <w:spacing w:after="140" w:before="280"/>
      </w:pPr>
      <w:r>
        <w:rPr>
          <w:b/>
          <w:bCs/>
          <w:i w:val="false"/>
          <w:iCs w:val="false"/>
          <w:color w:val="2E5395"/>
          <w:sz w:val="24"/>
          <w:szCs w:val="24"/>
        </w:rPr>
        <w:t xml:space="preserve">Verificación visual (sección 8 del notebook)</w:t>
      </w:r>
    </w:p>
    <w:p>
      <w:pPr>
        <w:spacing w:after="100"/>
        <w:ind w:left="300"/>
      </w:pPr>
      <w:r>
        <w:rPr>
          <w:b/>
          <w:bCs/>
          <w:color w:val="1F3864"/>
          <w:sz w:val="22"/>
          <w:szCs w:val="22"/>
        </w:rPr>
        <w:t xml:space="preserve">• </w:t>
      </w:r>
      <w:r>
        <w:rPr>
          <w:b w:val="false"/>
          <w:bCs w:val="false"/>
          <w:i w:val="false"/>
          <w:iCs w:val="false"/>
          <w:sz w:val="22"/>
          <w:szCs w:val="22"/>
        </w:rPr>
        <w:t xml:space="preserve">El histograma de </w:t>
      </w:r>
      <w:r>
        <w:rPr>
          <w:rFonts w:ascii="Consolas" w:cs="Consolas" w:eastAsia="Consolas" w:hAnsi="Consolas"/>
          <w:b w:val="false"/>
          <w:bCs w:val="false"/>
          <w:color w:val="C0392B"/>
          <w:sz w:val="20"/>
          <w:szCs w:val="20"/>
          <w:shd w:fill="F0F0F0" w:val="clear"/>
        </w:rPr>
        <w:t xml:space="preserve">profundidad</w:t>
      </w:r>
      <w:r>
        <w:rPr>
          <w:b w:val="false"/>
          <w:bCs w:val="false"/>
          <w:i w:val="false"/>
          <w:iCs w:val="false"/>
          <w:sz w:val="22"/>
          <w:szCs w:val="22"/>
        </w:rPr>
        <w:t xml:space="preserve"> post-limpieza muestra una distribución realista concentrada entre 1.500 y 7.000, con pico en ~3.000 — sin rastro del valor erróneo de 378.939.</w:t>
      </w:r>
    </w:p>
    <w:p>
      <w:pPr>
        <w:spacing w:after="100"/>
        <w:ind w:left="300"/>
      </w:pPr>
      <w:r>
        <w:rPr>
          <w:b/>
          <w:bCs/>
          <w:color w:val="1F3864"/>
          <w:sz w:val="22"/>
          <w:szCs w:val="22"/>
        </w:rPr>
        <w:t xml:space="preserve">• </w:t>
      </w:r>
      <w:r>
        <w:rPr>
          <w:b w:val="false"/>
          <w:bCs w:val="false"/>
          <w:i w:val="false"/>
          <w:iCs w:val="false"/>
          <w:sz w:val="22"/>
          <w:szCs w:val="22"/>
        </w:rPr>
        <w:t xml:space="preserve">La serie temporal recalculada </w:t>
      </w:r>
      <w:r>
        <w:rPr>
          <w:b/>
          <w:bCs/>
          <w:i w:val="false"/>
          <w:iCs w:val="false"/>
          <w:sz w:val="22"/>
          <w:szCs w:val="22"/>
        </w:rPr>
        <w:t xml:space="preserve">excluyendo el año incompleto</w:t>
      </w:r>
      <w:r>
        <w:rPr>
          <w:b w:val="false"/>
          <w:bCs w:val="false"/>
          <w:i w:val="false"/>
          <w:iCs w:val="false"/>
          <w:sz w:val="22"/>
          <w:szCs w:val="22"/>
        </w:rPr>
        <w:t xml:space="preserve"> muestra la curva de crecimiento limpia 2006-2025, sin la caída artificial de 2026.</w:t>
      </w:r>
    </w:p>
    <w:p>
      <w:pPr>
        <w:spacing w:after="160"/>
        <w:jc w:val="both"/>
      </w:pPr>
      <w:r>
        <w:rPr>
          <w:b w:val="false"/>
          <w:bCs w:val="false"/>
          <w:i w:val="false"/>
          <w:iCs w:val="false"/>
          <w:sz w:val="22"/>
          <w:szCs w:val="22"/>
        </w:rPr>
        <w:t xml:space="preserve">Con esto, la Pre-Entrega 2 (EDA + limpieza) queda </w:t>
      </w:r>
      <w:r>
        <w:rPr>
          <w:b/>
          <w:bCs/>
          <w:i w:val="false"/>
          <w:iCs w:val="false"/>
          <w:sz w:val="22"/>
          <w:szCs w:val="22"/>
        </w:rPr>
        <w:t xml:space="preserve">cerrada y verificada tanto numérica como visualmente</w:t>
      </w:r>
      <w:r>
        <w:rPr>
          <w:b w:val="false"/>
          <w:bCs w:val="false"/>
          <w:i w:val="false"/>
          <w:iCs w:val="false"/>
          <w:sz w:val="22"/>
          <w:szCs w:val="22"/>
        </w:rPr>
        <w:t xml:space="preserve">.</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8. Cambio de estilo de código</w:t>
      </w:r>
    </w:p>
    <w:p>
      <w:pPr>
        <w:spacing w:after="160"/>
        <w:jc w:val="both"/>
      </w:pPr>
      <w:r>
        <w:rPr>
          <w:b w:val="false"/>
          <w:bCs w:val="false"/>
          <w:i w:val="false"/>
          <w:iCs w:val="false"/>
          <w:sz w:val="22"/>
          <w:szCs w:val="22"/>
        </w:rPr>
        <w:t xml:space="preserve">A partir de esta etapa, todo el código del proyecto (</w:t>
      </w:r>
      <w:r>
        <w:rPr>
          <w:rFonts w:ascii="Consolas" w:cs="Consolas" w:eastAsia="Consolas" w:hAnsi="Consolas"/>
          <w:b w:val="false"/>
          <w:bCs w:val="false"/>
          <w:color w:val="C0392B"/>
          <w:sz w:val="20"/>
          <w:szCs w:val="20"/>
          <w:shd w:fill="F0F0F0" w:val="clear"/>
        </w:rPr>
        <w:t xml:space="preserve">data_loader.py</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preprocessor.py</w:t>
      </w:r>
      <w:r>
        <w:rPr>
          <w:b w:val="false"/>
          <w:bCs w:val="false"/>
          <w:i w:val="false"/>
          <w:iCs w:val="false"/>
          <w:sz w:val="22"/>
          <w:szCs w:val="22"/>
        </w:rPr>
        <w:t xml:space="preserve"> y los notebooks) se reescribió en un </w:t>
      </w:r>
      <w:r>
        <w:rPr>
          <w:b/>
          <w:bCs/>
          <w:i w:val="false"/>
          <w:iCs w:val="false"/>
          <w:sz w:val="22"/>
          <w:szCs w:val="22"/>
        </w:rPr>
        <w:t xml:space="preserve">estilo más simple y lineal</w:t>
      </w:r>
      <w:r>
        <w:rPr>
          <w:b w:val="false"/>
          <w:bCs w:val="false"/>
          <w:i w:val="false"/>
          <w:iCs w:val="false"/>
          <w:sz w:val="22"/>
          <w:szCs w:val="22"/>
        </w:rPr>
        <w:t xml:space="preserve">: funciones únicas con pasos comentados en vez de múltiples funciones encadenadas con validaciones extensas. Se prioriza la legibilidad y la capacidad de explicar el código en la defensa oral, por sobre patrones más avanzados (type hints, manejo de excepciones, rutas independientes del directorio de ejecución). El comportamiento y los resultados numéricos son equivalentes a la versión anterior.</w:t>
      </w:r>
    </w:p>
    <w:p>
      <w:pPr>
        <w:pBdr>
          <w:bottom w:val="single" w:color="1F3864" w:sz="6" w:space="4"/>
        </w:pBdr>
        <w:spacing w:after="200" w:before="100"/>
      </w:pPr>
    </w:p>
    <w:p>
      <w:pPr>
        <w:pStyle w:val="Heading1"/>
        <w:pBdr>
          <w:bottom w:val="single" w:color="9DB3D6" w:sz="4" w:space="4"/>
        </w:pBdr>
        <w:spacing w:after="180" w:before="360"/>
      </w:pPr>
      <w:r>
        <w:rPr>
          <w:b/>
          <w:bCs/>
          <w:i w:val="false"/>
          <w:iCs w:val="false"/>
          <w:color w:val="1F3864"/>
          <w:sz w:val="30"/>
          <w:szCs w:val="30"/>
        </w:rPr>
        <w:t xml:space="preserve">9. </w:t>
      </w:r>
      <w:r>
        <w:rPr>
          <w:rFonts w:ascii="Consolas" w:cs="Consolas" w:eastAsia="Consolas" w:hAnsi="Consolas"/>
          <w:b/>
          <w:bCs/>
          <w:color w:val="1F3864"/>
          <w:sz w:val="30"/>
          <w:szCs w:val="30"/>
        </w:rPr>
        <w:t xml:space="preserve">notebooks/02_feature_engineering.ipynb</w:t>
      </w:r>
      <w:r>
        <w:rPr>
          <w:b/>
          <w:bCs/>
          <w:i w:val="false"/>
          <w:iCs w:val="false"/>
          <w:color w:val="1F3864"/>
          <w:sz w:val="30"/>
          <w:szCs w:val="30"/>
        </w:rPr>
        <w:t xml:space="preserve"> — Variables derivadas</w:t>
      </w:r>
    </w:p>
    <w:p>
      <w:pPr>
        <w:spacing w:after="160"/>
        <w:jc w:val="both"/>
      </w:pPr>
      <w:r>
        <w:rPr>
          <w:b w:val="false"/>
          <w:bCs w:val="false"/>
          <w:i w:val="false"/>
          <w:iCs w:val="false"/>
          <w:sz w:val="22"/>
          <w:szCs w:val="22"/>
        </w:rPr>
        <w:t xml:space="preserve">Se crearon variables nuevas sobre el dataset limpio, pensadas para darle al modelo información sobre el comportamiento de cada pozo a lo largo del tiempo. Todas se calculan en meses de calendario:</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3900"/>
        <w:gridCol w:w="5450"/>
      </w:tblGrid>
      <w:tr>
        <w:trPr>
          <w:tblHeader/>
        </w:trPr>
        <w:tc>
          <w:tcPr>
            <w:tcW w:type="dxa" w:w="3900"/>
            <w:shd w:fill="1F3864" w:val="clear"/>
            <w:tcMar>
              <w:top w:type="dxa" w:w="80"/>
              <w:left w:type="dxa" w:w="120"/>
              <w:bottom w:type="dxa" w:w="80"/>
              <w:right w:type="dxa" w:w="120"/>
            </w:tcMar>
            <w:vAlign w:val="center"/>
          </w:tcPr>
          <w:p>
            <w:r>
              <w:rPr>
                <w:b/>
                <w:bCs/>
                <w:i w:val="false"/>
                <w:iCs w:val="false"/>
                <w:color w:val="FFFFFF"/>
                <w:sz w:val="20"/>
                <w:szCs w:val="20"/>
              </w:rPr>
              <w:t xml:space="preserve">Variable</w:t>
            </w:r>
          </w:p>
        </w:tc>
        <w:tc>
          <w:tcPr>
            <w:tcW w:type="dxa" w:w="5450"/>
            <w:shd w:fill="1F3864" w:val="clear"/>
            <w:tcMar>
              <w:top w:type="dxa" w:w="80"/>
              <w:left w:type="dxa" w:w="120"/>
              <w:bottom w:type="dxa" w:w="80"/>
              <w:right w:type="dxa" w:w="120"/>
            </w:tcMar>
            <w:vAlign w:val="center"/>
          </w:tcPr>
          <w:p>
            <w:r>
              <w:rPr>
                <w:b/>
                <w:bCs/>
                <w:i w:val="false"/>
                <w:iCs w:val="false"/>
                <w:color w:val="FFFFFF"/>
                <w:sz w:val="20"/>
                <w:szCs w:val="20"/>
              </w:rPr>
              <w:t xml:space="preserve">Descripción</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antiguedad_meses</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Meses de calendario desde el primer mes con datos del pozo (1 = primer mes registrado)</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prod_pet_mes_anterior</w:t>
            </w:r>
            <w:r>
              <w:rPr>
                <w:b w:val="false"/>
                <w:bCs w:val="false"/>
                <w:i w:val="false"/>
                <w:iCs w:val="false"/>
                <w:sz w:val="20"/>
                <w:szCs w:val="20"/>
              </w:rPr>
              <w:t xml:space="preserve"> / </w:t>
            </w:r>
            <w:r>
              <w:rPr>
                <w:rFonts w:ascii="Consolas" w:cs="Consolas" w:eastAsia="Consolas" w:hAnsi="Consolas"/>
                <w:b w:val="false"/>
                <w:bCs w:val="false"/>
                <w:color w:val="C0392B"/>
                <w:sz w:val="20"/>
                <w:szCs w:val="20"/>
                <w:shd w:fill="F0F0F0" w:val="clear"/>
              </w:rPr>
              <w:t xml:space="preserve">prod_gas_mes_anterior</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Producción del mes anterior (lag), por pozo; vacía en el primer mes y después de un hueco</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declinacion_pet</w:t>
            </w:r>
            <w:r>
              <w:rPr>
                <w:b w:val="false"/>
                <w:bCs w:val="false"/>
                <w:i w:val="false"/>
                <w:iCs w:val="false"/>
                <w:sz w:val="20"/>
                <w:szCs w:val="20"/>
              </w:rPr>
              <w:t xml:space="preserve"> / </w:t>
            </w:r>
            <w:r>
              <w:rPr>
                <w:rFonts w:ascii="Consolas" w:cs="Consolas" w:eastAsia="Consolas" w:hAnsi="Consolas"/>
                <w:b w:val="false"/>
                <w:bCs w:val="false"/>
                <w:color w:val="C0392B"/>
                <w:sz w:val="20"/>
                <w:szCs w:val="20"/>
                <w:shd w:fill="F0F0F0" w:val="clear"/>
              </w:rPr>
              <w:t xml:space="preserve">declinacion_gas</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 de variación respecto al mes anterior</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ratio_gas_petroleo</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Relación gas/petróleo del mes</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prod_pet_hace_2_meses</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declinacion_pet_anterior</w:t>
            </w:r>
            <w:r>
              <w:rPr>
                <w:b w:val="false"/>
                <w:bCs w:val="false"/>
                <w:i w:val="false"/>
                <w:iCs w:val="false"/>
                <w:sz w:val="20"/>
                <w:szCs w:val="20"/>
              </w:rPr>
              <w:t xml:space="preserve">, </w:t>
            </w:r>
            <w:r>
              <w:rPr>
                <w:rFonts w:ascii="Consolas" w:cs="Consolas" w:eastAsia="Consolas" w:hAnsi="Consolas"/>
                <w:b w:val="false"/>
                <w:bCs w:val="false"/>
                <w:color w:val="C0392B"/>
                <w:sz w:val="20"/>
                <w:szCs w:val="20"/>
                <w:shd w:fill="F0F0F0" w:val="clear"/>
              </w:rPr>
              <w:t xml:space="preserve">ratio_gas_petroleo_anterior</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Variables del mes anterior para el modelo (no contienen la producción del mes a predecir)</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prod_pet_acumulada</w:t>
            </w:r>
            <w:r>
              <w:rPr>
                <w:b w:val="false"/>
                <w:bCs w:val="false"/>
                <w:i w:val="false"/>
                <w:iCs w:val="false"/>
                <w:sz w:val="20"/>
                <w:szCs w:val="20"/>
              </w:rPr>
              <w:t xml:space="preserve"> / </w:t>
            </w:r>
            <w:r>
              <w:rPr>
                <w:rFonts w:ascii="Consolas" w:cs="Consolas" w:eastAsia="Consolas" w:hAnsi="Consolas"/>
                <w:b w:val="false"/>
                <w:bCs w:val="false"/>
                <w:color w:val="C0392B"/>
                <w:sz w:val="20"/>
                <w:szCs w:val="20"/>
                <w:shd w:fill="F0F0F0" w:val="clear"/>
              </w:rPr>
              <w:t xml:space="preserve">prod_gas_acumulada</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Producción acumulada del pozo hasta ese mes</w:t>
            </w:r>
          </w:p>
        </w:tc>
      </w:tr>
      <w:tr>
        <w:tc>
          <w:tcPr>
            <w:tcW w:type="dxa" w:w="390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formacion_cod</w:t>
            </w:r>
            <w:r>
              <w:rPr>
                <w:b w:val="false"/>
                <w:bCs w:val="false"/>
                <w:i w:val="false"/>
                <w:iCs w:val="false"/>
                <w:sz w:val="20"/>
                <w:szCs w:val="20"/>
              </w:rPr>
              <w:t xml:space="preserve"> / </w:t>
            </w:r>
            <w:r>
              <w:rPr>
                <w:rFonts w:ascii="Consolas" w:cs="Consolas" w:eastAsia="Consolas" w:hAnsi="Consolas"/>
                <w:b w:val="false"/>
                <w:bCs w:val="false"/>
                <w:color w:val="C0392B"/>
                <w:sz w:val="20"/>
                <w:szCs w:val="20"/>
                <w:shd w:fill="F0F0F0" w:val="clear"/>
              </w:rPr>
              <w:t xml:space="preserve">cuenca_cod</w:t>
            </w:r>
          </w:p>
        </w:tc>
        <w:tc>
          <w:tcPr>
            <w:tcW w:type="dxa" w:w="5450"/>
            <w:tcMar>
              <w:top w:type="dxa" w:w="80"/>
              <w:left w:type="dxa" w:w="120"/>
              <w:bottom w:type="dxa" w:w="80"/>
              <w:right w:type="dxa" w:w="120"/>
            </w:tcMar>
            <w:vAlign w:val="center"/>
          </w:tcPr>
          <w:p>
            <w:r>
              <w:rPr>
                <w:b w:val="false"/>
                <w:bCs w:val="false"/>
                <w:i w:val="false"/>
                <w:iCs w:val="false"/>
                <w:sz w:val="20"/>
                <w:szCs w:val="20"/>
              </w:rPr>
              <w:t xml:space="preserve">Codificación numérica de las variables categóricas formacion y cuenca</w:t>
            </w:r>
          </w:p>
        </w:tc>
      </w:tr>
    </w:tbl>
    <w:p>
      <w:pPr>
        <w:spacing w:after="160"/>
      </w:pPr>
    </w:p>
    <w:p>
      <w:pPr>
        <w:spacing w:after="160"/>
        <w:jc w:val="both"/>
      </w:pPr>
      <w:r>
        <w:rPr>
          <w:b/>
          <w:bCs/>
          <w:i w:val="false"/>
          <w:iCs w:val="false"/>
          <w:sz w:val="22"/>
          <w:szCs w:val="22"/>
        </w:rPr>
        <w:t xml:space="preserve">Corrección por meses sin fila.</w:t>
      </w:r>
      <w:r>
        <w:rPr>
          <w:b w:val="false"/>
          <w:bCs w:val="false"/>
          <w:i w:val="false"/>
          <w:iCs w:val="false"/>
          <w:sz w:val="22"/>
          <w:szCs w:val="22"/>
        </w:rPr>
        <w:t xml:space="preserve"> Una revisión del equipo (Abigail Vicentelo) detectó que 704 de los 5.089 pozos tienen meses sin fila (831 huecos, 7.421 meses en total), por lo que contar filas atrasaba la antigüedad en el 17,3% de las filas del dataset (14,7% del período de prueba) y copiaba como "mes anterior" un mes lejano en 831 filas. Se corrigió con meses de calendario: la antigüedad cuenta meses y, después de un hueco, las variables del mes anterior quedan vacías. Las variables del mes anterior para el modelo se calculan en este notebook, con la misma regla, para que todos los notebooks y la API usen una sola definición.</w:t>
      </w:r>
    </w:p>
    <w:p>
      <w:pPr>
        <w:spacing w:after="160"/>
        <w:jc w:val="both"/>
      </w:pPr>
      <w:r>
        <w:rPr>
          <w:b/>
          <w:bCs/>
          <w:i w:val="false"/>
          <w:iCs w:val="false"/>
          <w:sz w:val="22"/>
          <w:szCs w:val="22"/>
        </w:rPr>
        <w:t xml:space="preserve">Verificación visual:</w:t>
      </w:r>
      <w:r>
        <w:rPr>
          <w:b w:val="false"/>
          <w:bCs w:val="false"/>
          <w:i w:val="false"/>
          <w:iCs w:val="false"/>
          <w:sz w:val="22"/>
          <w:szCs w:val="22"/>
        </w:rPr>
        <w:t xml:space="preserve"> se graficó la curva de producción mensual y acumulada del pozo con más historia cargada, confirmando que la producción acumulada es siempre creciente y que la curva mensual muestra el patrón esperable de un pozo no convencional. El resultado se guardó en </w:t>
      </w:r>
      <w:r>
        <w:rPr>
          <w:rFonts w:ascii="Consolas" w:cs="Consolas" w:eastAsia="Consolas" w:hAnsi="Consolas"/>
          <w:b w:val="false"/>
          <w:bCs w:val="false"/>
          <w:color w:val="C0392B"/>
          <w:sz w:val="20"/>
          <w:szCs w:val="20"/>
          <w:shd w:fill="F0F0F0" w:val="clear"/>
        </w:rPr>
        <w:t xml:space="preserve">data/processed/produccion_con_features.csv</w:t>
      </w:r>
      <w:r>
        <w:rPr>
          <w:b w:val="false"/>
          <w:bCs w:val="false"/>
          <w:i w:val="false"/>
          <w:iCs w:val="false"/>
          <w:sz w:val="22"/>
          <w:szCs w:val="22"/>
        </w:rPr>
        <w:t xml:space="preserve">.</w:t>
      </w:r>
    </w:p>
    <w:p>
      <w:pPr>
        <w:pStyle w:val="Heading1"/>
        <w:pBdr>
          <w:bottom w:val="single" w:color="9DB3D6" w:sz="4" w:space="4"/>
        </w:pBdr>
        <w:spacing w:after="180" w:before="360"/>
      </w:pPr>
      <w:r>
        <w:rPr>
          <w:b/>
          <w:bCs/>
          <w:i w:val="false"/>
          <w:iCs w:val="false"/>
          <w:color w:val="1F3864"/>
          <w:sz w:val="30"/>
          <w:szCs w:val="30"/>
        </w:rPr>
        <w:t xml:space="preserve">10. </w:t>
      </w:r>
      <w:r>
        <w:rPr>
          <w:rFonts w:ascii="Consolas" w:cs="Consolas" w:eastAsia="Consolas" w:hAnsi="Consolas"/>
          <w:b/>
          <w:bCs/>
          <w:color w:val="1F3864"/>
          <w:sz w:val="30"/>
          <w:szCs w:val="30"/>
        </w:rPr>
        <w:t xml:space="preserve">notebooks/03_modelado_supervisado.ipynb</w:t>
      </w:r>
      <w:r>
        <w:rPr>
          <w:b/>
          <w:bCs/>
          <w:i w:val="false"/>
          <w:iCs w:val="false"/>
          <w:color w:val="1F3864"/>
          <w:sz w:val="30"/>
          <w:szCs w:val="30"/>
        </w:rPr>
        <w:t xml:space="preserve"> — Regresión (predicción de prod_pet)</w:t>
      </w:r>
    </w:p>
    <w:p>
      <w:pPr>
        <w:pStyle w:val="Heading2"/>
        <w:spacing w:after="140" w:before="280"/>
      </w:pPr>
      <w:r>
        <w:rPr>
          <w:b/>
          <w:bCs/>
          <w:i w:val="false"/>
          <w:iCs w:val="false"/>
          <w:color w:val="2E5395"/>
          <w:sz w:val="24"/>
          <w:szCs w:val="24"/>
        </w:rPr>
        <w:t xml:space="preserve">10.1 Diseño del experimento</w:t>
      </w:r>
    </w:p>
    <w:p>
      <w:pPr>
        <w:spacing w:after="100"/>
        <w:ind w:left="300"/>
      </w:pPr>
      <w:r>
        <w:rPr>
          <w:b/>
          <w:bCs/>
          <w:color w:val="1F3864"/>
          <w:sz w:val="22"/>
          <w:szCs w:val="22"/>
        </w:rPr>
        <w:t xml:space="preserve">• </w:t>
      </w:r>
      <w:r>
        <w:rPr>
          <w:b w:val="false"/>
          <w:bCs w:val="false"/>
          <w:i w:val="false"/>
          <w:iCs w:val="false"/>
          <w:sz w:val="22"/>
          <w:szCs w:val="22"/>
        </w:rPr>
        <w:t xml:space="preserve">Variable objetivo: </w:t>
      </w:r>
      <w:r>
        <w:rPr>
          <w:rFonts w:ascii="Consolas" w:cs="Consolas" w:eastAsia="Consolas" w:hAnsi="Consolas"/>
          <w:b w:val="false"/>
          <w:bCs w:val="false"/>
          <w:color w:val="C0392B"/>
          <w:sz w:val="20"/>
          <w:szCs w:val="20"/>
          <w:shd w:fill="F0F0F0" w:val="clear"/>
        </w:rPr>
        <w:t xml:space="preserve">prod_pet</w:t>
      </w:r>
      <w:r>
        <w:rPr>
          <w:b w:val="false"/>
          <w:bCs w:val="false"/>
          <w:i w:val="false"/>
          <w:iCs w:val="false"/>
          <w:sz w:val="22"/>
          <w:szCs w:val="22"/>
        </w:rPr>
        <w:t xml:space="preserve"> (producción mensual de petróleo por pozo).</w:t>
      </w:r>
    </w:p>
    <w:p>
      <w:pPr>
        <w:spacing w:after="100"/>
        <w:ind w:left="300"/>
      </w:pPr>
      <w:r>
        <w:rPr>
          <w:b/>
          <w:bCs/>
          <w:color w:val="1F3864"/>
          <w:sz w:val="22"/>
          <w:szCs w:val="22"/>
        </w:rPr>
        <w:t xml:space="preserve">• </w:t>
      </w:r>
      <w:r>
        <w:rPr>
          <w:b w:val="false"/>
          <w:bCs w:val="false"/>
          <w:i w:val="false"/>
          <w:iCs w:val="false"/>
          <w:sz w:val="22"/>
          <w:szCs w:val="22"/>
        </w:rPr>
        <w:t xml:space="preserve">Modelos: XGBoost y LightGBM, parámetros base (n_estimators=200, max_depth=5, learning_rate=0.1) hasta la iteración 8; la iteración 9 los optimiza.</w:t>
      </w:r>
    </w:p>
    <w:p>
      <w:pPr>
        <w:spacing w:after="100"/>
        <w:ind w:left="300"/>
      </w:pPr>
      <w:r>
        <w:rPr>
          <w:b/>
          <w:bCs/>
          <w:color w:val="1F3864"/>
          <w:sz w:val="22"/>
          <w:szCs w:val="22"/>
        </w:rPr>
        <w:t xml:space="preserve">• </w:t>
      </w:r>
      <w:r>
        <w:rPr>
          <w:b w:val="false"/>
          <w:bCs w:val="false"/>
          <w:i w:val="false"/>
          <w:iCs w:val="false"/>
          <w:sz w:val="22"/>
          <w:szCs w:val="22"/>
        </w:rPr>
        <w:t xml:space="preserve">Separación train/test respetando el tiempo (no aleatoria): entrenamiento con años anteriores a 2024, prueba con 2024-2025 — simula la situación real de predecir producción futura, no interpolar el pasado.</w:t>
      </w:r>
    </w:p>
    <w:p>
      <w:pPr>
        <w:spacing w:after="100"/>
        <w:ind w:left="300"/>
      </w:pPr>
      <w:r>
        <w:rPr>
          <w:b/>
          <w:bCs/>
          <w:color w:val="1F3864"/>
          <w:sz w:val="22"/>
          <w:szCs w:val="22"/>
        </w:rPr>
        <w:t xml:space="preserve">• </w:t>
      </w:r>
      <w:r>
        <w:rPr>
          <w:b w:val="false"/>
          <w:bCs w:val="false"/>
          <w:i w:val="false"/>
          <w:iCs w:val="false"/>
          <w:sz w:val="22"/>
          <w:szCs w:val="22"/>
        </w:rPr>
        <w:t xml:space="preserve">Se excluyeron del entrenamiento el primer mes de cada pozo y el año 2026 (incompleto). Desde la sección 10.9 el modelo trabaja con un alcance explícito.</w:t>
      </w:r>
    </w:p>
    <w:p>
      <w:pPr>
        <w:pStyle w:val="Heading2"/>
        <w:spacing w:after="140" w:before="280"/>
      </w:pPr>
      <w:r>
        <w:rPr>
          <w:b/>
          <w:bCs/>
          <w:i w:val="false"/>
          <w:iCs w:val="false"/>
          <w:color w:val="2E5395"/>
          <w:sz w:val="24"/>
          <w:szCs w:val="24"/>
        </w:rPr>
        <w:t xml:space="preserve">10.2 Iteración 1 — Modelo base (7 features)</w:t>
      </w:r>
    </w:p>
    <w:p>
      <w:pPr>
        <w:spacing w:after="160"/>
        <w:jc w:val="both"/>
      </w:pPr>
      <w:r>
        <w:rPr>
          <w:b w:val="false"/>
          <w:bCs w:val="false"/>
          <w:i w:val="false"/>
          <w:iCs w:val="false"/>
          <w:sz w:val="22"/>
          <w:szCs w:val="22"/>
        </w:rPr>
        <w:t xml:space="preserve">Features: antiguedad_meses, prod_pet_mes_anterior, prod_gas_mes_anterior, ratio_gas_petroleo, profundidad, formacion_cod, cuenca_cod. </w:t>
      </w:r>
      <w:r>
        <w:rPr>
          <w:b/>
          <w:bCs/>
          <w:i w:val="false"/>
          <w:iCs w:val="false"/>
          <w:sz w:val="22"/>
          <w:szCs w:val="22"/>
        </w:rPr>
        <w:t xml:space="preserve">Resultado:</w:t>
      </w:r>
      <w:r>
        <w:rPr>
          <w:b w:val="false"/>
          <w:bCs w:val="false"/>
          <w:i w:val="false"/>
          <w:iCs w:val="false"/>
          <w:sz w:val="22"/>
          <w:szCs w:val="22"/>
        </w:rPr>
        <w:t xml:space="preserve"> MAE 194,70 — RMSE 518,04 — R² 0,854. Buen ajuste en el rango bajo-medio, pero subestimación sistemática de los pozos con picos muy altos (&gt;10.000).</w:t>
      </w:r>
    </w:p>
    <w:p>
      <w:pPr>
        <w:pStyle w:val="Heading2"/>
        <w:spacing w:after="140" w:before="280"/>
      </w:pPr>
      <w:r>
        <w:rPr>
          <w:b/>
          <w:bCs/>
          <w:i w:val="false"/>
          <w:iCs w:val="false"/>
          <w:color w:val="2E5395"/>
          <w:sz w:val="24"/>
          <w:szCs w:val="24"/>
        </w:rPr>
        <w:t xml:space="preserve">10.3 Iteración 2 — Fuga de datos detectada y descartada</w:t>
      </w:r>
    </w:p>
    <w:p>
      <w:pPr>
        <w:spacing w:after="160"/>
        <w:jc w:val="both"/>
      </w:pPr>
      <w:r>
        <w:rPr>
          <w:b w:val="false"/>
          <w:bCs w:val="false"/>
          <w:i w:val="false"/>
          <w:iCs w:val="false"/>
          <w:sz w:val="22"/>
          <w:szCs w:val="22"/>
        </w:rPr>
        <w:t xml:space="preserve">Al agregar declinacion_pet el R² subió a 0,979, un salto sospechoso. Se calcula como (prod_pet − prod_pet_mes_anterior) / prod_pet_mes_anterior, por lo que la variable objetivo queda embebida en la fórmula y prod_pet se puede despejar algebraicamente: el modelo no predecía, recibía la respuesta disfrazada. Descartada; además no es utilizable en producción.</w:t>
      </w:r>
    </w:p>
    <w:p>
      <w:pPr>
        <w:pStyle w:val="Heading2"/>
        <w:spacing w:after="140" w:before="280"/>
      </w:pPr>
      <w:r>
        <w:rPr>
          <w:b/>
          <w:bCs/>
          <w:i w:val="false"/>
          <w:iCs w:val="false"/>
          <w:color w:val="2E5395"/>
          <w:sz w:val="24"/>
          <w:szCs w:val="24"/>
        </w:rPr>
        <w:t xml:space="preserve">10.4 Iteración 3 — Modelo corregido (8 features)</w:t>
      </w:r>
    </w:p>
    <w:p>
      <w:pPr>
        <w:spacing w:after="160"/>
        <w:jc w:val="both"/>
      </w:pPr>
      <w:r>
        <w:rPr>
          <w:b w:val="false"/>
          <w:bCs w:val="false"/>
          <w:i w:val="false"/>
          <w:iCs w:val="false"/>
          <w:sz w:val="22"/>
          <w:szCs w:val="22"/>
        </w:rPr>
        <w:t xml:space="preserve">Se reemplazó la variable con fuga por declinacion_pet_anterior (declinación del mes anterior, información ya conocida al predecir). </w:t>
      </w:r>
      <w:r>
        <w:rPr>
          <w:b/>
          <w:bCs/>
          <w:i w:val="false"/>
          <w:iCs w:val="false"/>
          <w:sz w:val="22"/>
          <w:szCs w:val="22"/>
        </w:rPr>
        <w:t xml:space="preserve">Resultado:</w:t>
      </w:r>
      <w:r>
        <w:rPr>
          <w:b w:val="false"/>
          <w:bCs w:val="false"/>
          <w:i w:val="false"/>
          <w:iCs w:val="false"/>
          <w:sz w:val="22"/>
          <w:szCs w:val="22"/>
        </w:rPr>
        <w:t xml:space="preserve"> MAE 162,33 — RMSE 441,70 — R² 0,887. Mejora real y modesta; el problema de subestimación de picos persistía.</w:t>
      </w:r>
    </w:p>
    <w:p>
      <w:pPr>
        <w:pStyle w:val="Heading2"/>
        <w:spacing w:after="140" w:before="280"/>
      </w:pPr>
      <w:r>
        <w:rPr>
          <w:b/>
          <w:bCs/>
          <w:i w:val="false"/>
          <w:iCs w:val="false"/>
          <w:color w:val="2E5395"/>
          <w:sz w:val="24"/>
          <w:szCs w:val="24"/>
        </w:rPr>
        <w:t xml:space="preserve">10.5 Iteración 4 — Máximo histórico del pozo (descartada)</w:t>
      </w:r>
    </w:p>
    <w:p>
      <w:pPr>
        <w:spacing w:after="160"/>
        <w:jc w:val="both"/>
      </w:pPr>
      <w:r>
        <w:rPr>
          <w:b w:val="false"/>
          <w:bCs w:val="false"/>
          <w:i w:val="false"/>
          <w:iCs w:val="false"/>
          <w:sz w:val="22"/>
          <w:szCs w:val="22"/>
        </w:rPr>
        <w:t xml:space="preserve">Se agregó prod_pet_maxima_anterior (máximo histórico calculado solo con datos hasta el mes anterior). </w:t>
      </w:r>
      <w:r>
        <w:rPr>
          <w:b/>
          <w:bCs/>
          <w:i w:val="false"/>
          <w:iCs w:val="false"/>
          <w:sz w:val="22"/>
          <w:szCs w:val="22"/>
        </w:rPr>
        <w:t xml:space="preserve">Resultado:</w:t>
      </w:r>
      <w:r>
        <w:rPr>
          <w:b w:val="false"/>
          <w:bCs w:val="false"/>
          <w:i w:val="false"/>
          <w:iCs w:val="false"/>
          <w:sz w:val="22"/>
          <w:szCs w:val="22"/>
        </w:rPr>
        <w:t xml:space="preserve"> MAE 163,98 — RMSE 436,11 — R² 0,890. Mejora chica y el error en picos sigue muy alto (4.587,8); se descartó para no sumar una variable por una ganancia marginal.</w:t>
      </w:r>
    </w:p>
    <w:p>
      <w:pPr>
        <w:pStyle w:val="Heading2"/>
        <w:spacing w:after="140" w:before="280"/>
      </w:pPr>
      <w:r>
        <w:rPr>
          <w:b/>
          <w:bCs/>
          <w:i w:val="false"/>
          <w:iCs w:val="false"/>
          <w:color w:val="2E5395"/>
          <w:sz w:val="24"/>
          <w:szCs w:val="24"/>
        </w:rPr>
        <w:t xml:space="preserve">10.6 Iteración 5 — Log-transform del objetivo (descartada)</w:t>
      </w:r>
    </w:p>
    <w:p>
      <w:pPr>
        <w:spacing w:after="160"/>
        <w:jc w:val="both"/>
      </w:pPr>
      <w:r>
        <w:rPr>
          <w:b w:val="false"/>
          <w:bCs w:val="false"/>
          <w:i w:val="false"/>
          <w:iCs w:val="false"/>
          <w:sz w:val="22"/>
          <w:szCs w:val="22"/>
        </w:rPr>
        <w:t xml:space="preserve">Se entrenó sobre log(1 + prod_pet). </w:t>
      </w:r>
      <w:r>
        <w:rPr>
          <w:b/>
          <w:bCs/>
          <w:i w:val="false"/>
          <w:iCs w:val="false"/>
          <w:sz w:val="22"/>
          <w:szCs w:val="22"/>
        </w:rPr>
        <w:t xml:space="preserve">Resultado:</w:t>
      </w:r>
      <w:r>
        <w:rPr>
          <w:b w:val="false"/>
          <w:bCs w:val="false"/>
          <w:i w:val="false"/>
          <w:iCs w:val="false"/>
          <w:sz w:val="22"/>
          <w:szCs w:val="22"/>
        </w:rPr>
        <w:t xml:space="preserve"> MAE 160,90 — RMSE 462,44 — R² 0,876. Mejoró apenas el MAE pero empeoró el RMSE y el error en picos (6.008,9): al revertir el logaritmo, los errores pequeños se amplifican y aparecen sobreestimaciones extremas. Descartada.</w:t>
      </w:r>
    </w:p>
    <w:p>
      <w:pPr>
        <w:pStyle w:val="Heading2"/>
        <w:spacing w:after="140" w:before="280"/>
      </w:pPr>
      <w:r>
        <w:rPr>
          <w:b/>
          <w:bCs/>
          <w:i w:val="false"/>
          <w:iCs w:val="false"/>
          <w:color w:val="2E5395"/>
          <w:sz w:val="24"/>
          <w:szCs w:val="24"/>
        </w:rPr>
        <w:t xml:space="preserve">10.7 Iteración 6 — Comparación XGBoost vs. LightGBM</w:t>
      </w:r>
    </w:p>
    <w:p>
      <w:pPr>
        <w:spacing w:after="160"/>
        <w:jc w:val="both"/>
      </w:pPr>
      <w:r>
        <w:rPr>
          <w:b w:val="false"/>
          <w:bCs w:val="false"/>
          <w:i w:val="false"/>
          <w:iCs w:val="false"/>
          <w:sz w:val="22"/>
          <w:szCs w:val="22"/>
        </w:rPr>
        <w:t xml:space="preserve">La Pre-Entrega 1 especificaba entrenar y comparar modelos de regresión (XGBoost / LightGBM). Se entrenó LightGBM con las mismas 8 features, el mismo split temporal y parámetros equivalentes.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4000"/>
        <w:gridCol w:w="2675"/>
        <w:gridCol w:w="2675"/>
      </w:tblGrid>
      <w:tr>
        <w:trPr>
          <w:tblHeader/>
        </w:trPr>
        <w:tc>
          <w:tcPr>
            <w:tcW w:type="dxa" w:w="4000"/>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2675"/>
            <w:shd w:fill="1F3864" w:val="clear"/>
            <w:tcMar>
              <w:top w:type="dxa" w:w="80"/>
              <w:left w:type="dxa" w:w="120"/>
              <w:bottom w:type="dxa" w:w="80"/>
              <w:right w:type="dxa" w:w="120"/>
            </w:tcMar>
            <w:vAlign w:val="center"/>
          </w:tcPr>
          <w:p>
            <w:r>
              <w:rPr>
                <w:b/>
                <w:bCs/>
                <w:i w:val="false"/>
                <w:iCs w:val="false"/>
                <w:color w:val="FFFFFF"/>
                <w:sz w:val="20"/>
                <w:szCs w:val="20"/>
              </w:rPr>
              <w:t xml:space="preserve">XGBoost</w:t>
            </w:r>
          </w:p>
        </w:tc>
        <w:tc>
          <w:tcPr>
            <w:tcW w:type="dxa" w:w="2675"/>
            <w:shd w:fill="1F3864" w:val="clear"/>
            <w:tcMar>
              <w:top w:type="dxa" w:w="80"/>
              <w:left w:type="dxa" w:w="120"/>
              <w:bottom w:type="dxa" w:w="80"/>
              <w:right w:type="dxa" w:w="120"/>
            </w:tcMar>
            <w:vAlign w:val="center"/>
          </w:tcPr>
          <w:p>
            <w:r>
              <w:rPr>
                <w:b/>
                <w:bCs/>
                <w:i w:val="false"/>
                <w:iCs w:val="false"/>
                <w:color w:val="FFFFFF"/>
                <w:sz w:val="20"/>
                <w:szCs w:val="20"/>
              </w:rPr>
              <w:t xml:space="preserve">LightGBM</w:t>
            </w:r>
          </w:p>
        </w:tc>
      </w:tr>
      <w:tr>
        <w:tc>
          <w:tcPr>
            <w:tcW w:type="dxa" w:w="4000"/>
            <w:tcMar>
              <w:top w:type="dxa" w:w="80"/>
              <w:left w:type="dxa" w:w="120"/>
              <w:bottom w:type="dxa" w:w="80"/>
              <w:right w:type="dxa" w:w="120"/>
            </w:tcMar>
            <w:vAlign w:val="center"/>
          </w:tcPr>
          <w:p>
            <w:r>
              <w:rPr>
                <w:b w:val="false"/>
                <w:bCs w:val="false"/>
                <w:i w:val="false"/>
                <w:iCs w:val="false"/>
                <w:sz w:val="20"/>
                <w:szCs w:val="20"/>
              </w:rPr>
              <w:t xml:space="preserve">MAE</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162,33</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163,27</w:t>
            </w:r>
          </w:p>
        </w:tc>
      </w:tr>
      <w:tr>
        <w:tc>
          <w:tcPr>
            <w:tcW w:type="dxa" w:w="4000"/>
            <w:tcMar>
              <w:top w:type="dxa" w:w="80"/>
              <w:left w:type="dxa" w:w="120"/>
              <w:bottom w:type="dxa" w:w="80"/>
              <w:right w:type="dxa" w:w="120"/>
            </w:tcMar>
            <w:vAlign w:val="center"/>
          </w:tcPr>
          <w:p>
            <w:r>
              <w:rPr>
                <w:b w:val="false"/>
                <w:bCs w:val="false"/>
                <w:i w:val="false"/>
                <w:iCs w:val="false"/>
                <w:sz w:val="20"/>
                <w:szCs w:val="20"/>
              </w:rPr>
              <w:t xml:space="preserve">RMSE</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441,70</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440,63</w:t>
            </w:r>
          </w:p>
        </w:tc>
      </w:tr>
      <w:tr>
        <w:tc>
          <w:tcPr>
            <w:tcW w:type="dxa" w:w="4000"/>
            <w:tcMar>
              <w:top w:type="dxa" w:w="80"/>
              <w:left w:type="dxa" w:w="120"/>
              <w:bottom w:type="dxa" w:w="80"/>
              <w:right w:type="dxa" w:w="120"/>
            </w:tcMar>
            <w:vAlign w:val="center"/>
          </w:tcPr>
          <w:p>
            <w:r>
              <w:rPr>
                <w:b w:val="false"/>
                <w:bCs w:val="false"/>
                <w:i w:val="false"/>
                <w:iCs w:val="false"/>
                <w:sz w:val="20"/>
                <w:szCs w:val="20"/>
              </w:rPr>
              <w:t xml:space="preserve">R²</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0,887</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0,887</w:t>
            </w:r>
          </w:p>
        </w:tc>
      </w:tr>
      <w:tr>
        <w:tc>
          <w:tcPr>
            <w:tcW w:type="dxa" w:w="4000"/>
            <w:tcMar>
              <w:top w:type="dxa" w:w="80"/>
              <w:left w:type="dxa" w:w="120"/>
              <w:bottom w:type="dxa" w:w="80"/>
              <w:right w:type="dxa" w:w="120"/>
            </w:tcMar>
            <w:vAlign w:val="center"/>
          </w:tcPr>
          <w:p>
            <w:r>
              <w:rPr>
                <w:b w:val="false"/>
                <w:bCs w:val="false"/>
                <w:i w:val="false"/>
                <w:iCs w:val="false"/>
                <w:sz w:val="20"/>
                <w:szCs w:val="20"/>
              </w:rPr>
              <w:t xml:space="preserve">Error en picos altos (&gt;10.000)</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5.090,8</w:t>
            </w:r>
          </w:p>
        </w:tc>
        <w:tc>
          <w:tcPr>
            <w:tcW w:type="dxa" w:w="2675"/>
            <w:tcMar>
              <w:top w:type="dxa" w:w="80"/>
              <w:left w:type="dxa" w:w="120"/>
              <w:bottom w:type="dxa" w:w="80"/>
              <w:right w:type="dxa" w:w="120"/>
            </w:tcMar>
            <w:vAlign w:val="center"/>
          </w:tcPr>
          <w:p>
            <w:r>
              <w:rPr>
                <w:b w:val="false"/>
                <w:bCs w:val="false"/>
                <w:i w:val="false"/>
                <w:iCs w:val="false"/>
                <w:sz w:val="20"/>
                <w:szCs w:val="20"/>
              </w:rPr>
              <w:t xml:space="preserve">4.996,9</w:t>
            </w:r>
          </w:p>
        </w:tc>
      </w:tr>
    </w:tbl>
    <w:p>
      <w:pPr>
        <w:spacing w:after="160"/>
      </w:pPr>
    </w:p>
    <w:p>
      <w:pPr>
        <w:spacing w:after="160"/>
        <w:jc w:val="both"/>
      </w:pPr>
      <w:r>
        <w:rPr>
          <w:b/>
          <w:bCs/>
          <w:i w:val="false"/>
          <w:iCs w:val="false"/>
          <w:sz w:val="22"/>
          <w:szCs w:val="22"/>
        </w:rPr>
        <w:t xml:space="preserve">Resultado:</w:t>
      </w:r>
      <w:r>
        <w:rPr>
          <w:b w:val="false"/>
          <w:bCs w:val="false"/>
          <w:i w:val="false"/>
          <w:iCs w:val="false"/>
          <w:sz w:val="22"/>
          <w:szCs w:val="22"/>
        </w:rPr>
        <w:t xml:space="preserve"> empate técnico, con ventaja marginal de LightGBM en el RMSE y en el error en picos. Se adopta LightGBM como modelo principal, conservando ambos para trazabilidad. Nota metodológica: los gráficos de importancia de XGBoost (basada en gain) y LightGBM (basada en splits) usan métricas distintas y no son directamente comparables.</w:t>
      </w:r>
    </w:p>
    <w:p>
      <w:pPr>
        <w:pStyle w:val="Heading2"/>
        <w:spacing w:after="140" w:before="280"/>
      </w:pPr>
      <w:r>
        <w:rPr>
          <w:b/>
          <w:bCs/>
          <w:i w:val="false"/>
          <w:iCs w:val="false"/>
          <w:color w:val="2E5395"/>
          <w:sz w:val="24"/>
          <w:szCs w:val="24"/>
        </w:rPr>
        <w:t xml:space="preserve">10.8 Tabla comparativa de las iteraciones 1 a 6</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1750"/>
        <w:gridCol w:w="1150"/>
        <w:gridCol w:w="1150"/>
        <w:gridCol w:w="1150"/>
        <w:gridCol w:w="1250"/>
        <w:gridCol w:w="1450"/>
        <w:gridCol w:w="1450"/>
      </w:tblGrid>
      <w:tr>
        <w:trPr>
          <w:tblHeader/>
        </w:trPr>
        <w:tc>
          <w:tcPr>
            <w:tcW w:type="dxa" w:w="1750"/>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1150"/>
            <w:shd w:fill="1F3864" w:val="clear"/>
            <w:tcMar>
              <w:top w:type="dxa" w:w="80"/>
              <w:left w:type="dxa" w:w="120"/>
              <w:bottom w:type="dxa" w:w="80"/>
              <w:right w:type="dxa" w:w="120"/>
            </w:tcMar>
            <w:vAlign w:val="center"/>
          </w:tcPr>
          <w:p>
            <w:r>
              <w:rPr>
                <w:b/>
                <w:bCs/>
                <w:i w:val="false"/>
                <w:iCs w:val="false"/>
                <w:color w:val="FFFFFF"/>
                <w:sz w:val="20"/>
                <w:szCs w:val="20"/>
              </w:rPr>
              <w:t xml:space="preserve">Base</w:t>
            </w:r>
          </w:p>
        </w:tc>
        <w:tc>
          <w:tcPr>
            <w:tcW w:type="dxa" w:w="1150"/>
            <w:shd w:fill="1F3864" w:val="clear"/>
            <w:tcMar>
              <w:top w:type="dxa" w:w="80"/>
              <w:left w:type="dxa" w:w="120"/>
              <w:bottom w:type="dxa" w:w="80"/>
              <w:right w:type="dxa" w:w="120"/>
            </w:tcMar>
            <w:vAlign w:val="center"/>
          </w:tcPr>
          <w:p>
            <w:r>
              <w:rPr>
                <w:b/>
                <w:bCs/>
                <w:i w:val="false"/>
                <w:iCs w:val="false"/>
                <w:color w:val="FFFFFF"/>
                <w:sz w:val="20"/>
                <w:szCs w:val="20"/>
              </w:rPr>
              <w:t xml:space="preserve">Con fuga</w:t>
            </w:r>
          </w:p>
        </w:tc>
        <w:tc>
          <w:tcPr>
            <w:tcW w:type="dxa" w:w="1150"/>
            <w:shd w:fill="1F3864" w:val="clear"/>
            <w:tcMar>
              <w:top w:type="dxa" w:w="80"/>
              <w:left w:type="dxa" w:w="120"/>
              <w:bottom w:type="dxa" w:w="80"/>
              <w:right w:type="dxa" w:w="120"/>
            </w:tcMar>
            <w:vAlign w:val="center"/>
          </w:tcPr>
          <w:p>
            <w:r>
              <w:rPr>
                <w:b/>
                <w:bCs/>
                <w:i w:val="false"/>
                <w:iCs w:val="false"/>
                <w:color w:val="FFFFFF"/>
                <w:sz w:val="20"/>
                <w:szCs w:val="20"/>
              </w:rPr>
              <w:t xml:space="preserve">+ máxima</w:t>
            </w:r>
          </w:p>
        </w:tc>
        <w:tc>
          <w:tcPr>
            <w:tcW w:type="dxa" w:w="1250"/>
            <w:shd w:fill="1F3864" w:val="clear"/>
            <w:tcMar>
              <w:top w:type="dxa" w:w="80"/>
              <w:left w:type="dxa" w:w="120"/>
              <w:bottom w:type="dxa" w:w="80"/>
              <w:right w:type="dxa" w:w="120"/>
            </w:tcMar>
            <w:vAlign w:val="center"/>
          </w:tcPr>
          <w:p>
            <w:r>
              <w:rPr>
                <w:b/>
                <w:bCs/>
                <w:i w:val="false"/>
                <w:iCs w:val="false"/>
                <w:color w:val="FFFFFF"/>
                <w:sz w:val="20"/>
                <w:szCs w:val="20"/>
              </w:rPr>
              <w:t xml:space="preserve">Log-transf.</w:t>
            </w:r>
          </w:p>
        </w:tc>
        <w:tc>
          <w:tcPr>
            <w:tcW w:type="dxa" w:w="1450"/>
            <w:shd w:fill="1F3864" w:val="clear"/>
            <w:tcMar>
              <w:top w:type="dxa" w:w="80"/>
              <w:left w:type="dxa" w:w="120"/>
              <w:bottom w:type="dxa" w:w="80"/>
              <w:right w:type="dxa" w:w="120"/>
            </w:tcMar>
            <w:vAlign w:val="center"/>
          </w:tcPr>
          <w:p>
            <w:r>
              <w:rPr>
                <w:b/>
                <w:bCs/>
                <w:i w:val="false"/>
                <w:iCs w:val="false"/>
                <w:color w:val="FFFFFF"/>
                <w:sz w:val="20"/>
                <w:szCs w:val="20"/>
              </w:rPr>
              <w:t xml:space="preserve">XGBoost (it. 3)</w:t>
            </w:r>
          </w:p>
        </w:tc>
        <w:tc>
          <w:tcPr>
            <w:tcW w:type="dxa" w:w="1450"/>
            <w:shd w:fill="1F3864" w:val="clear"/>
            <w:tcMar>
              <w:top w:type="dxa" w:w="80"/>
              <w:left w:type="dxa" w:w="120"/>
              <w:bottom w:type="dxa" w:w="80"/>
              <w:right w:type="dxa" w:w="120"/>
            </w:tcMar>
            <w:vAlign w:val="center"/>
          </w:tcPr>
          <w:p>
            <w:r>
              <w:rPr>
                <w:b/>
                <w:bCs/>
                <w:i w:val="false"/>
                <w:iCs w:val="false"/>
                <w:color w:val="FFFFFF"/>
                <w:sz w:val="20"/>
                <w:szCs w:val="20"/>
              </w:rPr>
              <w:t xml:space="preserve">LightGBM (it. 6)</w:t>
            </w:r>
          </w:p>
        </w:tc>
      </w:tr>
      <w:tr>
        <w:tc>
          <w:tcPr>
            <w:tcW w:type="dxa" w:w="1750"/>
            <w:tcMar>
              <w:top w:type="dxa" w:w="80"/>
              <w:left w:type="dxa" w:w="120"/>
              <w:bottom w:type="dxa" w:w="80"/>
              <w:right w:type="dxa" w:w="120"/>
            </w:tcMar>
            <w:vAlign w:val="center"/>
          </w:tcPr>
          <w:p>
            <w:r>
              <w:rPr>
                <w:b w:val="false"/>
                <w:bCs w:val="false"/>
                <w:i w:val="false"/>
                <w:iCs w:val="false"/>
                <w:sz w:val="20"/>
                <w:szCs w:val="20"/>
              </w:rPr>
              <w:t xml:space="preserve">MAE</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194,70</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37,63</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163,98</w:t>
            </w:r>
          </w:p>
        </w:tc>
        <w:tc>
          <w:tcPr>
            <w:tcW w:type="dxa" w:w="1250"/>
            <w:tcMar>
              <w:top w:type="dxa" w:w="80"/>
              <w:left w:type="dxa" w:w="120"/>
              <w:bottom w:type="dxa" w:w="80"/>
              <w:right w:type="dxa" w:w="120"/>
            </w:tcMar>
            <w:vAlign w:val="center"/>
          </w:tcPr>
          <w:p>
            <w:r>
              <w:rPr>
                <w:b w:val="false"/>
                <w:bCs w:val="false"/>
                <w:i w:val="false"/>
                <w:iCs w:val="false"/>
                <w:sz w:val="20"/>
                <w:szCs w:val="20"/>
              </w:rPr>
              <w:t xml:space="preserve">160,90</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162,33</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163,27</w:t>
            </w:r>
          </w:p>
        </w:tc>
      </w:tr>
      <w:tr>
        <w:tc>
          <w:tcPr>
            <w:tcW w:type="dxa" w:w="1750"/>
            <w:tcMar>
              <w:top w:type="dxa" w:w="80"/>
              <w:left w:type="dxa" w:w="120"/>
              <w:bottom w:type="dxa" w:w="80"/>
              <w:right w:type="dxa" w:w="120"/>
            </w:tcMar>
            <w:vAlign w:val="center"/>
          </w:tcPr>
          <w:p>
            <w:r>
              <w:rPr>
                <w:b w:val="false"/>
                <w:bCs w:val="false"/>
                <w:i w:val="false"/>
                <w:iCs w:val="false"/>
                <w:sz w:val="20"/>
                <w:szCs w:val="20"/>
              </w:rPr>
              <w:t xml:space="preserve">RMSE</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518,04</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196,97</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436,11</w:t>
            </w:r>
          </w:p>
        </w:tc>
        <w:tc>
          <w:tcPr>
            <w:tcW w:type="dxa" w:w="1250"/>
            <w:tcMar>
              <w:top w:type="dxa" w:w="80"/>
              <w:left w:type="dxa" w:w="120"/>
              <w:bottom w:type="dxa" w:w="80"/>
              <w:right w:type="dxa" w:w="120"/>
            </w:tcMar>
            <w:vAlign w:val="center"/>
          </w:tcPr>
          <w:p>
            <w:r>
              <w:rPr>
                <w:b w:val="false"/>
                <w:bCs w:val="false"/>
                <w:i w:val="false"/>
                <w:iCs w:val="false"/>
                <w:sz w:val="20"/>
                <w:szCs w:val="20"/>
              </w:rPr>
              <w:t xml:space="preserve">462,44</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441,70</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440,63</w:t>
            </w:r>
          </w:p>
        </w:tc>
      </w:tr>
      <w:tr>
        <w:tc>
          <w:tcPr>
            <w:tcW w:type="dxa" w:w="1750"/>
            <w:tcMar>
              <w:top w:type="dxa" w:w="80"/>
              <w:left w:type="dxa" w:w="120"/>
              <w:bottom w:type="dxa" w:w="80"/>
              <w:right w:type="dxa" w:w="120"/>
            </w:tcMar>
            <w:vAlign w:val="center"/>
          </w:tcPr>
          <w:p>
            <w:r>
              <w:rPr>
                <w:b w:val="false"/>
                <w:bCs w:val="false"/>
                <w:i w:val="false"/>
                <w:iCs w:val="false"/>
                <w:sz w:val="20"/>
                <w:szCs w:val="20"/>
              </w:rPr>
              <w:t xml:space="preserve">R²</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0,854</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0,979</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0,890</w:t>
            </w:r>
          </w:p>
        </w:tc>
        <w:tc>
          <w:tcPr>
            <w:tcW w:type="dxa" w:w="1250"/>
            <w:tcMar>
              <w:top w:type="dxa" w:w="80"/>
              <w:left w:type="dxa" w:w="120"/>
              <w:bottom w:type="dxa" w:w="80"/>
              <w:right w:type="dxa" w:w="120"/>
            </w:tcMar>
            <w:vAlign w:val="center"/>
          </w:tcPr>
          <w:p>
            <w:r>
              <w:rPr>
                <w:b w:val="false"/>
                <w:bCs w:val="false"/>
                <w:i w:val="false"/>
                <w:iCs w:val="false"/>
                <w:sz w:val="20"/>
                <w:szCs w:val="20"/>
              </w:rPr>
              <w:t xml:space="preserve">0,876</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0,887</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0,887</w:t>
            </w:r>
          </w:p>
        </w:tc>
      </w:tr>
      <w:tr>
        <w:tc>
          <w:tcPr>
            <w:tcW w:type="dxa" w:w="1750"/>
            <w:tcMar>
              <w:top w:type="dxa" w:w="80"/>
              <w:left w:type="dxa" w:w="120"/>
              <w:bottom w:type="dxa" w:w="80"/>
              <w:right w:type="dxa" w:w="120"/>
            </w:tcMar>
            <w:vAlign w:val="center"/>
          </w:tcPr>
          <w:p>
            <w:r>
              <w:rPr>
                <w:b w:val="false"/>
                <w:bCs w:val="false"/>
                <w:i w:val="false"/>
                <w:iCs w:val="false"/>
                <w:sz w:val="20"/>
                <w:szCs w:val="20"/>
              </w:rPr>
              <w:t xml:space="preserve">Picos &gt;10.000</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4.835</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2.411</w:t>
            </w:r>
          </w:p>
        </w:tc>
        <w:tc>
          <w:tcPr>
            <w:tcW w:type="dxa" w:w="1150"/>
            <w:tcMar>
              <w:top w:type="dxa" w:w="80"/>
              <w:left w:type="dxa" w:w="120"/>
              <w:bottom w:type="dxa" w:w="80"/>
              <w:right w:type="dxa" w:w="120"/>
            </w:tcMar>
            <w:vAlign w:val="center"/>
          </w:tcPr>
          <w:p>
            <w:r>
              <w:rPr>
                <w:b w:val="false"/>
                <w:bCs w:val="false"/>
                <w:i w:val="false"/>
                <w:iCs w:val="false"/>
                <w:sz w:val="20"/>
                <w:szCs w:val="20"/>
              </w:rPr>
              <w:t xml:space="preserve">4.588</w:t>
            </w:r>
          </w:p>
        </w:tc>
        <w:tc>
          <w:tcPr>
            <w:tcW w:type="dxa" w:w="1250"/>
            <w:tcMar>
              <w:top w:type="dxa" w:w="80"/>
              <w:left w:type="dxa" w:w="120"/>
              <w:bottom w:type="dxa" w:w="80"/>
              <w:right w:type="dxa" w:w="120"/>
            </w:tcMar>
            <w:vAlign w:val="center"/>
          </w:tcPr>
          <w:p>
            <w:r>
              <w:rPr>
                <w:b w:val="false"/>
                <w:bCs w:val="false"/>
                <w:i w:val="false"/>
                <w:iCs w:val="false"/>
                <w:sz w:val="20"/>
                <w:szCs w:val="20"/>
              </w:rPr>
              <w:t xml:space="preserve">6.009</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5.091</w:t>
            </w:r>
          </w:p>
        </w:tc>
        <w:tc>
          <w:tcPr>
            <w:tcW w:type="dxa" w:w="1450"/>
            <w:tcMar>
              <w:top w:type="dxa" w:w="80"/>
              <w:left w:type="dxa" w:w="120"/>
              <w:bottom w:type="dxa" w:w="80"/>
              <w:right w:type="dxa" w:w="120"/>
            </w:tcMar>
            <w:vAlign w:val="center"/>
          </w:tcPr>
          <w:p>
            <w:r>
              <w:rPr>
                <w:b w:val="false"/>
                <w:bCs w:val="false"/>
                <w:i w:val="false"/>
                <w:iCs w:val="false"/>
                <w:sz w:val="20"/>
                <w:szCs w:val="20"/>
              </w:rPr>
              <w:t xml:space="preserve">4.997</w:t>
            </w:r>
          </w:p>
        </w:tc>
      </w:tr>
    </w:tbl>
    <w:p>
      <w:pPr>
        <w:spacing w:after="160"/>
      </w:pPr>
    </w:p>
    <w:p>
      <w:pPr>
        <w:spacing w:after="160"/>
        <w:jc w:val="both"/>
      </w:pPr>
      <w:r>
        <w:rPr>
          <w:b w:val="false"/>
          <w:bCs w:val="false"/>
          <w:i w:val="false"/>
          <w:iCs w:val="false"/>
          <w:sz w:val="22"/>
          <w:szCs w:val="22"/>
        </w:rPr>
        <w:t xml:space="preserve">Las versiones "con fuga", "+ máxima" y "log" están descartadas. Estas iteraciones se reentrenan por código en el notebook, por lo que la tabla siempre refleja los datos actuales.</w:t>
      </w:r>
    </w:p>
    <w:p>
      <w:pPr>
        <w:pStyle w:val="Heading2"/>
        <w:spacing w:after="140" w:before="280"/>
      </w:pPr>
      <w:r>
        <w:rPr>
          <w:b/>
          <w:bCs/>
          <w:i w:val="false"/>
          <w:iCs w:val="false"/>
          <w:color w:val="2E5395"/>
          <w:sz w:val="24"/>
          <w:szCs w:val="24"/>
        </w:rPr>
        <w:t xml:space="preserve">10.9 Alcance del modelo</w:t>
      </w:r>
    </w:p>
    <w:p>
      <w:pPr>
        <w:spacing w:after="160"/>
        <w:jc w:val="both"/>
      </w:pPr>
      <w:r>
        <w:rPr>
          <w:b w:val="false"/>
          <w:bCs w:val="false"/>
          <w:i w:val="false"/>
          <w:iCs w:val="false"/>
          <w:sz w:val="22"/>
          <w:szCs w:val="22"/>
        </w:rPr>
        <w:t xml:space="preserve">Hasta la iteración 6 el filtro automático de datos faltantes decidía sin declararlo con qué filas trabajaba el modelo. Una observación del equipo lo hizo explícito: el modelo final </w:t>
      </w:r>
      <w:r>
        <w:rPr>
          <w:b/>
          <w:bCs/>
          <w:i w:val="false"/>
          <w:iCs w:val="false"/>
          <w:sz w:val="22"/>
          <w:szCs w:val="22"/>
        </w:rPr>
        <w:t xml:space="preserve">predice la producción del mes siguiente de un pozo que produjo petróleo en los dos meses previos</w:t>
      </w:r>
      <w:r>
        <w:rPr>
          <w:b w:val="false"/>
          <w:bCs w:val="false"/>
          <w:i w:val="false"/>
          <w:iCs w:val="false"/>
          <w:sz w:val="22"/>
          <w:szCs w:val="22"/>
        </w:rPr>
        <w:t xml:space="preserve"> (meses de calendario consecutivos), la misma definición que exige la API. En el período de prueba (102.663 filas):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5750"/>
        <w:gridCol w:w="1800"/>
        <w:gridCol w:w="1800"/>
      </w:tblGrid>
      <w:tr>
        <w:trPr>
          <w:tblHeader/>
        </w:trPr>
        <w:tc>
          <w:tcPr>
            <w:tcW w:type="dxa" w:w="5750"/>
            <w:shd w:fill="1F3864" w:val="clear"/>
            <w:tcMar>
              <w:top w:type="dxa" w:w="80"/>
              <w:left w:type="dxa" w:w="120"/>
              <w:bottom w:type="dxa" w:w="80"/>
              <w:right w:type="dxa" w:w="120"/>
            </w:tcMar>
            <w:vAlign w:val="center"/>
          </w:tcPr>
          <w:p>
            <w:r>
              <w:rPr>
                <w:b/>
                <w:bCs/>
                <w:i w:val="false"/>
                <w:iCs w:val="false"/>
                <w:color w:val="FFFFFF"/>
                <w:sz w:val="20"/>
                <w:szCs w:val="20"/>
              </w:rPr>
              <w:t xml:space="preserve">Categoría</w:t>
            </w:r>
          </w:p>
        </w:tc>
        <w:tc>
          <w:tcPr>
            <w:tcW w:type="dxa" w:w="1800"/>
            <w:shd w:fill="1F3864" w:val="clear"/>
            <w:tcMar>
              <w:top w:type="dxa" w:w="80"/>
              <w:left w:type="dxa" w:w="120"/>
              <w:bottom w:type="dxa" w:w="80"/>
              <w:right w:type="dxa" w:w="120"/>
            </w:tcMar>
            <w:vAlign w:val="center"/>
          </w:tcPr>
          <w:p>
            <w:r>
              <w:rPr>
                <w:b/>
                <w:bCs/>
                <w:i w:val="false"/>
                <w:iCs w:val="false"/>
                <w:color w:val="FFFFFF"/>
                <w:sz w:val="20"/>
                <w:szCs w:val="20"/>
              </w:rPr>
              <w:t xml:space="preserve">Filas</w:t>
            </w:r>
          </w:p>
        </w:tc>
        <w:tc>
          <w:tcPr>
            <w:tcW w:type="dxa" w:w="1800"/>
            <w:shd w:fill="1F3864" w:val="clear"/>
            <w:tcMar>
              <w:top w:type="dxa" w:w="80"/>
              <w:left w:type="dxa" w:w="120"/>
              <w:bottom w:type="dxa" w:w="80"/>
              <w:right w:type="dxa" w:w="120"/>
            </w:tcMar>
            <w:vAlign w:val="center"/>
          </w:tcPr>
          <w:p>
            <w:r>
              <w:rPr>
                <w:b/>
                <w:bCs/>
                <w:i w:val="false"/>
                <w:iCs w:val="false"/>
                <w:color w:val="FFFFFF"/>
                <w:sz w:val="20"/>
                <w:szCs w:val="20"/>
              </w:rPr>
              <w:t xml:space="preserve">%</w:t>
            </w:r>
          </w:p>
        </w:tc>
      </w:tr>
      <w:tr>
        <w:tc>
          <w:tcPr>
            <w:tcW w:type="dxa" w:w="5750"/>
            <w:tcMar>
              <w:top w:type="dxa" w:w="80"/>
              <w:left w:type="dxa" w:w="120"/>
              <w:bottom w:type="dxa" w:w="80"/>
              <w:right w:type="dxa" w:w="120"/>
            </w:tcMar>
            <w:vAlign w:val="center"/>
          </w:tcPr>
          <w:p>
            <w:r>
              <w:rPr>
                <w:b w:val="false"/>
                <w:bCs w:val="false"/>
                <w:i w:val="false"/>
                <w:iCs w:val="false"/>
                <w:sz w:val="20"/>
                <w:szCs w:val="20"/>
              </w:rPr>
              <w:t xml:space="preserve">En alcance (petróleo en los 2 meses previos)</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65.574</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63,9%</w:t>
            </w:r>
          </w:p>
        </w:tc>
      </w:tr>
      <w:tr>
        <w:tc>
          <w:tcPr>
            <w:tcW w:type="dxa" w:w="5750"/>
            <w:tcMar>
              <w:top w:type="dxa" w:w="80"/>
              <w:left w:type="dxa" w:w="120"/>
              <w:bottom w:type="dxa" w:w="80"/>
              <w:right w:type="dxa" w:w="120"/>
            </w:tcMar>
            <w:vAlign w:val="center"/>
          </w:tcPr>
          <w:p>
            <w:r>
              <w:rPr>
                <w:b w:val="false"/>
                <w:bCs w:val="false"/>
                <w:i w:val="false"/>
                <w:iCs w:val="false"/>
                <w:sz w:val="20"/>
                <w:szCs w:val="20"/>
              </w:rPr>
              <w:t xml:space="preserve">Mes anterior en 0 y sigue en 0</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32.012</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31,2%</w:t>
            </w:r>
          </w:p>
        </w:tc>
      </w:tr>
      <w:tr>
        <w:tc>
          <w:tcPr>
            <w:tcW w:type="dxa" w:w="5750"/>
            <w:tcMar>
              <w:top w:type="dxa" w:w="80"/>
              <w:left w:type="dxa" w:w="120"/>
              <w:bottom w:type="dxa" w:w="80"/>
              <w:right w:type="dxa" w:w="120"/>
            </w:tcMar>
            <w:vAlign w:val="center"/>
          </w:tcPr>
          <w:p>
            <w:r>
              <w:rPr>
                <w:b w:val="false"/>
                <w:bCs w:val="false"/>
                <w:i w:val="false"/>
                <w:iCs w:val="false"/>
                <w:sz w:val="20"/>
                <w:szCs w:val="20"/>
              </w:rPr>
              <w:t xml:space="preserve">Mes anterior con petróleo, pero hace 2 meses sin petróleo</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2.313</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2,3%</w:t>
            </w:r>
          </w:p>
        </w:tc>
      </w:tr>
      <w:tr>
        <w:tc>
          <w:tcPr>
            <w:tcW w:type="dxa" w:w="5750"/>
            <w:tcMar>
              <w:top w:type="dxa" w:w="80"/>
              <w:left w:type="dxa" w:w="120"/>
              <w:bottom w:type="dxa" w:w="80"/>
              <w:right w:type="dxa" w:w="120"/>
            </w:tcMar>
            <w:vAlign w:val="center"/>
          </w:tcPr>
          <w:p>
            <w:r>
              <w:rPr>
                <w:b w:val="false"/>
                <w:bCs w:val="false"/>
                <w:i w:val="false"/>
                <w:iCs w:val="false"/>
                <w:sz w:val="20"/>
                <w:szCs w:val="20"/>
              </w:rPr>
              <w:t xml:space="preserve">Mes anterior en 0 y retoma la producción</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1.624</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1,6%</w:t>
            </w:r>
          </w:p>
        </w:tc>
      </w:tr>
      <w:tr>
        <w:tc>
          <w:tcPr>
            <w:tcW w:type="dxa" w:w="5750"/>
            <w:tcMar>
              <w:top w:type="dxa" w:w="80"/>
              <w:left w:type="dxa" w:w="120"/>
              <w:bottom w:type="dxa" w:w="80"/>
              <w:right w:type="dxa" w:w="120"/>
            </w:tcMar>
            <w:vAlign w:val="center"/>
          </w:tcPr>
          <w:p>
            <w:r>
              <w:rPr>
                <w:b w:val="false"/>
                <w:bCs w:val="false"/>
                <w:i w:val="false"/>
                <w:iCs w:val="false"/>
                <w:sz w:val="20"/>
                <w:szCs w:val="20"/>
              </w:rPr>
              <w:t xml:space="preserve">Sin mes anterior (primer mes o tras un hueco)</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1.140</w:t>
            </w:r>
          </w:p>
        </w:tc>
        <w:tc>
          <w:tcPr>
            <w:tcW w:type="dxa" w:w="1800"/>
            <w:tcMar>
              <w:top w:type="dxa" w:w="80"/>
              <w:left w:type="dxa" w:w="120"/>
              <w:bottom w:type="dxa" w:w="80"/>
              <w:right w:type="dxa" w:w="120"/>
            </w:tcMar>
            <w:vAlign w:val="center"/>
          </w:tcPr>
          <w:p>
            <w:r>
              <w:rPr>
                <w:b w:val="false"/>
                <w:bCs w:val="false"/>
                <w:i w:val="false"/>
                <w:iCs w:val="false"/>
                <w:sz w:val="20"/>
                <w:szCs w:val="20"/>
              </w:rPr>
              <w:t xml:space="preserve">1,1%</w:t>
            </w:r>
          </w:p>
        </w:tc>
      </w:tr>
    </w:tbl>
    <w:p>
      <w:pPr>
        <w:spacing w:after="160"/>
      </w:pPr>
    </w:p>
    <w:p>
      <w:pPr>
        <w:spacing w:after="160"/>
        <w:jc w:val="both"/>
      </w:pPr>
      <w:r>
        <w:rPr>
          <w:b w:val="false"/>
          <w:bCs w:val="false"/>
          <w:i w:val="false"/>
          <w:iCs w:val="false"/>
          <w:sz w:val="22"/>
          <w:szCs w:val="22"/>
        </w:rPr>
        <w:t xml:space="preserve">El alcance cubre el 93,5% de los meses con producción de petróleo mayor a 0; la mayoría de lo que queda afuera son meses con petróleo en 0. No se filtra por </w:t>
      </w:r>
      <w:r>
        <w:rPr>
          <w:rFonts w:ascii="Consolas" w:cs="Consolas" w:eastAsia="Consolas" w:hAnsi="Consolas"/>
          <w:b w:val="false"/>
          <w:bCs w:val="false"/>
          <w:color w:val="C0392B"/>
          <w:sz w:val="20"/>
          <w:szCs w:val="20"/>
          <w:shd w:fill="F0F0F0" w:val="clear"/>
        </w:rPr>
        <w:t xml:space="preserve">tipopozo</w:t>
      </w:r>
      <w:r>
        <w:rPr>
          <w:b w:val="false"/>
          <w:bCs w:val="false"/>
          <w:i w:val="false"/>
          <w:iCs w:val="false"/>
          <w:sz w:val="22"/>
          <w:szCs w:val="22"/>
        </w:rPr>
        <w:t xml:space="preserve"> porque cambia con el tiempo en muchos pozos y hay meses con petróleo en pozos clasificados como gasíferos. </w:t>
      </w:r>
      <w:r>
        <w:rPr>
          <w:b/>
          <w:bCs/>
          <w:i w:val="false"/>
          <w:iCs w:val="false"/>
          <w:sz w:val="22"/>
          <w:szCs w:val="22"/>
        </w:rPr>
        <w:t xml:space="preserve">Prueba de ampliar el alcance:</w:t>
      </w:r>
      <w:r>
        <w:rPr>
          <w:b w:val="false"/>
          <w:bCs w:val="false"/>
          <w:i w:val="false"/>
          <w:iCs w:val="false"/>
          <w:sz w:val="22"/>
          <w:szCs w:val="22"/>
        </w:rPr>
        <w:t xml:space="preserve"> incluir las retomas y los meses en 0 no mejora las filas del alcance (MAE 159,1 contra 158,7), supera al baseline en las retomas (349,3 contra 399,1) pero con un error alto, y predice petróleo donde no hay en los meses en 0 (13,2 de error medio contra 0). Se decidió no ampliar el alcance y documentar las retomas como limitación.</w:t>
      </w:r>
    </w:p>
    <w:p>
      <w:pPr>
        <w:pStyle w:val="Heading2"/>
        <w:spacing w:after="140" w:before="280"/>
      </w:pPr>
      <w:r>
        <w:rPr>
          <w:b/>
          <w:bCs/>
          <w:i w:val="false"/>
          <w:iCs w:val="false"/>
          <w:color w:val="2E5395"/>
          <w:sz w:val="24"/>
          <w:szCs w:val="24"/>
        </w:rPr>
        <w:t xml:space="preserve">10.10 Iteración 7 — Fuga de datos en ratio_gas_petroleo (corregida)</w:t>
      </w:r>
    </w:p>
    <w:p>
      <w:pPr>
        <w:spacing w:after="160"/>
        <w:jc w:val="both"/>
      </w:pPr>
      <w:r>
        <w:rPr>
          <w:b w:val="false"/>
          <w:bCs w:val="false"/>
          <w:i w:val="false"/>
          <w:iCs w:val="false"/>
          <w:sz w:val="22"/>
          <w:szCs w:val="22"/>
        </w:rPr>
        <w:t xml:space="preserve">Al aplicar SHAP, ratio_gas_petroleo apareció como una de las variables más importantes. Se verificó que es prod_gas / prod_pet </w:t>
      </w:r>
      <w:r>
        <w:rPr>
          <w:b/>
          <w:bCs/>
          <w:i w:val="false"/>
          <w:iCs w:val="false"/>
          <w:sz w:val="22"/>
          <w:szCs w:val="22"/>
        </w:rPr>
        <w:t xml:space="preserve">del mismo mes que se quiere predecir</w:t>
      </w:r>
      <w:r>
        <w:rPr>
          <w:b w:val="false"/>
          <w:bCs w:val="false"/>
          <w:i w:val="false"/>
          <w:iCs w:val="false"/>
          <w:sz w:val="22"/>
          <w:szCs w:val="22"/>
        </w:rPr>
        <w:t xml:space="preserve"> (100% de las filas): la producción de petróleo a predecir queda en el denominador, y además ese dato no existe al predecir el mes siguiente. Se reemplazó por el ratio del mes anterior y se incorporó un baseline simple (repetir el mes anterior) para medir el aporte real del modelo.</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2750"/>
        <w:gridCol w:w="2200"/>
        <w:gridCol w:w="2250"/>
        <w:gridCol w:w="2150"/>
      </w:tblGrid>
      <w:tr>
        <w:trPr>
          <w:tblHeader/>
        </w:trPr>
        <w:tc>
          <w:tcPr>
            <w:tcW w:type="dxa" w:w="2750"/>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2200"/>
            <w:shd w:fill="1F3864" w:val="clear"/>
            <w:tcMar>
              <w:top w:type="dxa" w:w="80"/>
              <w:left w:type="dxa" w:w="120"/>
              <w:bottom w:type="dxa" w:w="80"/>
              <w:right w:type="dxa" w:w="120"/>
            </w:tcMar>
            <w:vAlign w:val="center"/>
          </w:tcPr>
          <w:p>
            <w:r>
              <w:rPr>
                <w:b/>
                <w:bCs/>
                <w:i w:val="false"/>
                <w:iCs w:val="false"/>
                <w:color w:val="FFFFFF"/>
                <w:sz w:val="20"/>
                <w:szCs w:val="20"/>
              </w:rPr>
              <w:t xml:space="preserve">Baseline (mes anterior)</w:t>
            </w:r>
          </w:p>
        </w:tc>
        <w:tc>
          <w:tcPr>
            <w:tcW w:type="dxa" w:w="2250"/>
            <w:shd w:fill="1F3864" w:val="clear"/>
            <w:tcMar>
              <w:top w:type="dxa" w:w="80"/>
              <w:left w:type="dxa" w:w="120"/>
              <w:bottom w:type="dxa" w:w="80"/>
              <w:right w:type="dxa" w:w="120"/>
            </w:tcMar>
            <w:vAlign w:val="center"/>
          </w:tcPr>
          <w:p>
            <w:r>
              <w:rPr>
                <w:b/>
                <w:bCs/>
                <w:i w:val="false"/>
                <w:iCs w:val="false"/>
                <w:color w:val="FFFFFF"/>
                <w:sz w:val="20"/>
                <w:szCs w:val="20"/>
              </w:rPr>
              <w:t xml:space="preserve">LightGBM it. 6 (con fuga)*</w:t>
            </w:r>
          </w:p>
        </w:tc>
        <w:tc>
          <w:tcPr>
            <w:tcW w:type="dxa" w:w="2150"/>
            <w:shd w:fill="1F3864" w:val="clear"/>
            <w:tcMar>
              <w:top w:type="dxa" w:w="80"/>
              <w:left w:type="dxa" w:w="120"/>
              <w:bottom w:type="dxa" w:w="80"/>
              <w:right w:type="dxa" w:w="120"/>
            </w:tcMar>
            <w:vAlign w:val="center"/>
          </w:tcPr>
          <w:p>
            <w:r>
              <w:rPr>
                <w:b/>
                <w:bCs/>
                <w:i w:val="false"/>
                <w:iCs w:val="false"/>
                <w:color w:val="FFFFFF"/>
                <w:sz w:val="20"/>
                <w:szCs w:val="20"/>
              </w:rPr>
              <w:t xml:space="preserve">LightGBM it. 7 (sin fuga)</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MAE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170,92</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163,27</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163,36</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RMSE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456,92</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440,63</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432,64</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R²</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0,878</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0,887</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0,891</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Error en picos &gt;10.000</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1.996,5</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4.996,9</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4.588,5</w:t>
            </w:r>
          </w:p>
        </w:tc>
      </w:tr>
    </w:tbl>
    <w:p>
      <w:pPr>
        <w:spacing w:after="160"/>
      </w:pPr>
    </w:p>
    <w:p>
      <w:pPr>
        <w:spacing w:after="160"/>
        <w:jc w:val="both"/>
      </w:pPr>
      <w:r>
        <w:rPr>
          <w:b w:val="false"/>
          <w:bCs w:val="false"/>
          <w:i w:val="false"/>
          <w:iCs w:val="false"/>
          <w:sz w:val="22"/>
          <w:szCs w:val="22"/>
        </w:rPr>
        <w:t xml:space="preserve">*La iteración 6 se evaluó sobre 64.957 filas de prueba; el baseline y la iteración 7 sobre 65.574 (las del alcance). Corregir la fuga no empeora el modelo.</w:t>
      </w:r>
    </w:p>
    <w:p>
      <w:pPr>
        <w:pStyle w:val="Heading2"/>
        <w:spacing w:after="140" w:before="280"/>
      </w:pPr>
      <w:r>
        <w:rPr>
          <w:b/>
          <w:bCs/>
          <w:i w:val="false"/>
          <w:iCs w:val="false"/>
          <w:color w:val="2E5395"/>
          <w:sz w:val="24"/>
          <w:szCs w:val="24"/>
        </w:rPr>
        <w:t xml:space="preserve">10.11 Iteración 8 — Predecir la variación en lugar del nivel</w:t>
      </w:r>
    </w:p>
    <w:p>
      <w:pPr>
        <w:spacing w:after="160"/>
        <w:jc w:val="both"/>
      </w:pPr>
      <w:r>
        <w:rPr>
          <w:b w:val="false"/>
          <w:bCs w:val="false"/>
          <w:i w:val="false"/>
          <w:iCs w:val="false"/>
          <w:sz w:val="22"/>
          <w:szCs w:val="22"/>
        </w:rPr>
        <w:t xml:space="preserve">SHAP mostró que el modelo se apoya en prod_pet_mes_anterior y que en los picos su aporte se aplana: los modelos de árboles no extrapolan, y el máximo de producción en entrenamiento fue 15.943 (solo 36 filas sobre 10.000 entre 170.927) contra picos de hasta 26.593 en la prueba. Se cambió el objetivo: el modelo predice cuánto cambia la producción respecto del mes anterior y la predicción final suma ese cambio al mes anterior, con piso en 0 (3.080 de 65.574 predicciones, el 4,7%, eran negativas antes del recorte).</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2750"/>
        <w:gridCol w:w="2200"/>
        <w:gridCol w:w="2150"/>
        <w:gridCol w:w="2250"/>
      </w:tblGrid>
      <w:tr>
        <w:trPr>
          <w:tblHeader/>
        </w:trPr>
        <w:tc>
          <w:tcPr>
            <w:tcW w:type="dxa" w:w="2750"/>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2200"/>
            <w:shd w:fill="1F3864" w:val="clear"/>
            <w:tcMar>
              <w:top w:type="dxa" w:w="80"/>
              <w:left w:type="dxa" w:w="120"/>
              <w:bottom w:type="dxa" w:w="80"/>
              <w:right w:type="dxa" w:w="120"/>
            </w:tcMar>
            <w:vAlign w:val="center"/>
          </w:tcPr>
          <w:p>
            <w:r>
              <w:rPr>
                <w:b/>
                <w:bCs/>
                <w:i w:val="false"/>
                <w:iCs w:val="false"/>
                <w:color w:val="FFFFFF"/>
                <w:sz w:val="20"/>
                <w:szCs w:val="20"/>
              </w:rPr>
              <w:t xml:space="preserve">Baseline (mes anterior)</w:t>
            </w:r>
          </w:p>
        </w:tc>
        <w:tc>
          <w:tcPr>
            <w:tcW w:type="dxa" w:w="2150"/>
            <w:shd w:fill="1F3864" w:val="clear"/>
            <w:tcMar>
              <w:top w:type="dxa" w:w="80"/>
              <w:left w:type="dxa" w:w="120"/>
              <w:bottom w:type="dxa" w:w="80"/>
              <w:right w:type="dxa" w:w="120"/>
            </w:tcMar>
            <w:vAlign w:val="center"/>
          </w:tcPr>
          <w:p>
            <w:r>
              <w:rPr>
                <w:b/>
                <w:bCs/>
                <w:i w:val="false"/>
                <w:iCs w:val="false"/>
                <w:color w:val="FFFFFF"/>
                <w:sz w:val="20"/>
                <w:szCs w:val="20"/>
              </w:rPr>
              <w:t xml:space="preserve">LightGBM it. 7</w:t>
            </w:r>
          </w:p>
        </w:tc>
        <w:tc>
          <w:tcPr>
            <w:tcW w:type="dxa" w:w="2250"/>
            <w:shd w:fill="1F3864" w:val="clear"/>
            <w:tcMar>
              <w:top w:type="dxa" w:w="80"/>
              <w:left w:type="dxa" w:w="120"/>
              <w:bottom w:type="dxa" w:w="80"/>
              <w:right w:type="dxa" w:w="120"/>
            </w:tcMar>
            <w:vAlign w:val="center"/>
          </w:tcPr>
          <w:p>
            <w:r>
              <w:rPr>
                <w:b/>
                <w:bCs/>
                <w:i w:val="false"/>
                <w:iCs w:val="false"/>
                <w:color w:val="FFFFFF"/>
                <w:sz w:val="20"/>
                <w:szCs w:val="20"/>
              </w:rPr>
              <w:t xml:space="preserve">LightGBM it. 8 (variación)</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MAE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170,92</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163,36</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158,75</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RMSE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456,92</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432,64</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408,75</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R²</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0,878</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0,891</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0,903</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Error en picos &gt;10.000</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1.996,5</w:t>
            </w:r>
          </w:p>
        </w:tc>
        <w:tc>
          <w:tcPr>
            <w:tcW w:type="dxa" w:w="2150"/>
            <w:tcMar>
              <w:top w:type="dxa" w:w="80"/>
              <w:left w:type="dxa" w:w="120"/>
              <w:bottom w:type="dxa" w:w="80"/>
              <w:right w:type="dxa" w:w="120"/>
            </w:tcMar>
            <w:vAlign w:val="center"/>
          </w:tcPr>
          <w:p>
            <w:r>
              <w:rPr>
                <w:b w:val="false"/>
                <w:bCs w:val="false"/>
                <w:i w:val="false"/>
                <w:iCs w:val="false"/>
                <w:sz w:val="20"/>
                <w:szCs w:val="20"/>
              </w:rPr>
              <w:t xml:space="preserve">4.588,5</w:t>
            </w:r>
          </w:p>
        </w:tc>
        <w:tc>
          <w:tcPr>
            <w:tcW w:type="dxa" w:w="2250"/>
            <w:tcMar>
              <w:top w:type="dxa" w:w="80"/>
              <w:left w:type="dxa" w:w="120"/>
              <w:bottom w:type="dxa" w:w="80"/>
              <w:right w:type="dxa" w:w="120"/>
            </w:tcMar>
            <w:vAlign w:val="center"/>
          </w:tcPr>
          <w:p>
            <w:r>
              <w:rPr>
                <w:b w:val="false"/>
                <w:bCs w:val="false"/>
                <w:i w:val="false"/>
                <w:iCs w:val="false"/>
                <w:sz w:val="20"/>
                <w:szCs w:val="20"/>
              </w:rPr>
              <w:t xml:space="preserve">3.032,2</w:t>
            </w:r>
          </w:p>
        </w:tc>
      </w:tr>
    </w:tbl>
    <w:p>
      <w:pPr>
        <w:spacing w:after="160"/>
      </w:pPr>
    </w:p>
    <w:p>
      <w:pPr>
        <w:spacing w:after="160"/>
        <w:jc w:val="both"/>
      </w:pPr>
      <w:r>
        <w:rPr>
          <w:b w:val="false"/>
          <w:bCs w:val="false"/>
          <w:i w:val="false"/>
          <w:iCs w:val="false"/>
          <w:sz w:val="22"/>
          <w:szCs w:val="22"/>
        </w:rPr>
        <w:t xml:space="preserve">Mejora las cuatro métricas respecto de la iteración 7 y reduce el error en picos, aunque sigue siendo peor que el baseline en los meses de producción extrema.</w:t>
      </w:r>
    </w:p>
    <w:p>
      <w:pPr>
        <w:pStyle w:val="Heading2"/>
        <w:spacing w:after="140" w:before="280"/>
      </w:pPr>
      <w:r>
        <w:rPr>
          <w:b/>
          <w:bCs/>
          <w:i w:val="false"/>
          <w:iCs w:val="false"/>
          <w:color w:val="2E5395"/>
          <w:sz w:val="24"/>
          <w:szCs w:val="24"/>
        </w:rPr>
        <w:t xml:space="preserve">10.12 Iteración 9 — Optimización de hiperparámetros con Optuna</w:t>
      </w:r>
    </w:p>
    <w:p>
      <w:pPr>
        <w:spacing w:after="160"/>
        <w:jc w:val="both"/>
      </w:pPr>
      <w:r>
        <w:rPr>
          <w:b w:val="false"/>
          <w:bCs w:val="false"/>
          <w:i w:val="false"/>
          <w:iCs w:val="false"/>
          <w:sz w:val="22"/>
          <w:szCs w:val="22"/>
        </w:rPr>
        <w:t xml:space="preserve">Se buscó una mejor combinación de parámetros con Optuna (40 intentos) sobre el modelo de la iteración 8, </w:t>
      </w:r>
      <w:r>
        <w:rPr>
          <w:b/>
          <w:bCs/>
          <w:i w:val="false"/>
          <w:iCs w:val="false"/>
          <w:sz w:val="22"/>
          <w:szCs w:val="22"/>
        </w:rPr>
        <w:t xml:space="preserve">sin usar el período de prueba para elegir</w:t>
      </w:r>
      <w:r>
        <w:rPr>
          <w:b w:val="false"/>
          <w:bCs w:val="false"/>
          <w:i w:val="false"/>
          <w:iCs w:val="false"/>
          <w:sz w:val="22"/>
          <w:szCs w:val="22"/>
        </w:rPr>
        <w:t xml:space="preserve">: los parámetros se eligieron con una validación temporal dentro del entrenamiento (rondas que validan con 2021, 2022 y 2023, sin usar nunca datos posteriores) y el período de prueba se usó una sola vez. El RMSE de validación bajó de 331,72 a 319,83.</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2750"/>
        <w:gridCol w:w="2200"/>
        <w:gridCol w:w="2200"/>
        <w:gridCol w:w="2200"/>
      </w:tblGrid>
      <w:tr>
        <w:trPr>
          <w:tblHeader/>
        </w:trPr>
        <w:tc>
          <w:tcPr>
            <w:tcW w:type="dxa" w:w="2750"/>
            <w:shd w:fill="1F3864" w:val="clear"/>
            <w:tcMar>
              <w:top w:type="dxa" w:w="80"/>
              <w:left w:type="dxa" w:w="120"/>
              <w:bottom w:type="dxa" w:w="80"/>
              <w:right w:type="dxa" w:w="120"/>
            </w:tcMar>
            <w:vAlign w:val="center"/>
          </w:tcPr>
          <w:p>
            <w:r>
              <w:rPr>
                <w:b/>
                <w:bCs/>
                <w:i w:val="false"/>
                <w:iCs w:val="false"/>
                <w:color w:val="FFFFFF"/>
                <w:sz w:val="20"/>
                <w:szCs w:val="20"/>
              </w:rPr>
              <w:t xml:space="preserve">Métrica</w:t>
            </w:r>
          </w:p>
        </w:tc>
        <w:tc>
          <w:tcPr>
            <w:tcW w:type="dxa" w:w="2200"/>
            <w:shd w:fill="1F3864" w:val="clear"/>
            <w:tcMar>
              <w:top w:type="dxa" w:w="80"/>
              <w:left w:type="dxa" w:w="120"/>
              <w:bottom w:type="dxa" w:w="80"/>
              <w:right w:type="dxa" w:w="120"/>
            </w:tcMar>
            <w:vAlign w:val="center"/>
          </w:tcPr>
          <w:p>
            <w:r>
              <w:rPr>
                <w:b/>
                <w:bCs/>
                <w:i w:val="false"/>
                <w:iCs w:val="false"/>
                <w:color w:val="FFFFFF"/>
                <w:sz w:val="20"/>
                <w:szCs w:val="20"/>
              </w:rPr>
              <w:t xml:space="preserve">Baseline (mes anterior)</w:t>
            </w:r>
          </w:p>
        </w:tc>
        <w:tc>
          <w:tcPr>
            <w:tcW w:type="dxa" w:w="2200"/>
            <w:shd w:fill="1F3864" w:val="clear"/>
            <w:tcMar>
              <w:top w:type="dxa" w:w="80"/>
              <w:left w:type="dxa" w:w="120"/>
              <w:bottom w:type="dxa" w:w="80"/>
              <w:right w:type="dxa" w:w="120"/>
            </w:tcMar>
            <w:vAlign w:val="center"/>
          </w:tcPr>
          <w:p>
            <w:r>
              <w:rPr>
                <w:b/>
                <w:bCs/>
                <w:i w:val="false"/>
                <w:iCs w:val="false"/>
                <w:color w:val="FFFFFF"/>
                <w:sz w:val="20"/>
                <w:szCs w:val="20"/>
              </w:rPr>
              <w:t xml:space="preserve">It. 8 (parámetros base)</w:t>
            </w:r>
          </w:p>
        </w:tc>
        <w:tc>
          <w:tcPr>
            <w:tcW w:type="dxa" w:w="2200"/>
            <w:shd w:fill="1F3864" w:val="clear"/>
            <w:tcMar>
              <w:top w:type="dxa" w:w="80"/>
              <w:left w:type="dxa" w:w="120"/>
              <w:bottom w:type="dxa" w:w="80"/>
              <w:right w:type="dxa" w:w="120"/>
            </w:tcMar>
            <w:vAlign w:val="center"/>
          </w:tcPr>
          <w:p>
            <w:r>
              <w:rPr>
                <w:b/>
                <w:bCs/>
                <w:i w:val="false"/>
                <w:iCs w:val="false"/>
                <w:color w:val="FFFFFF"/>
                <w:sz w:val="20"/>
                <w:szCs w:val="20"/>
              </w:rPr>
              <w:t xml:space="preserve">It. 9 (optimizada)</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MAE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170,92</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158,75</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154,26</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RMSE</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456,92</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408,75</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398,75</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R²</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0,878</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0,903</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0,907</w:t>
            </w:r>
          </w:p>
        </w:tc>
      </w:tr>
      <w:tr>
        <w:tc>
          <w:tcPr>
            <w:tcW w:type="dxa" w:w="2750"/>
            <w:tcMar>
              <w:top w:type="dxa" w:w="80"/>
              <w:left w:type="dxa" w:w="120"/>
              <w:bottom w:type="dxa" w:w="80"/>
              <w:right w:type="dxa" w:w="120"/>
            </w:tcMar>
            <w:vAlign w:val="center"/>
          </w:tcPr>
          <w:p>
            <w:r>
              <w:rPr>
                <w:b w:val="false"/>
                <w:bCs w:val="false"/>
                <w:i w:val="false"/>
                <w:iCs w:val="false"/>
                <w:sz w:val="20"/>
                <w:szCs w:val="20"/>
              </w:rPr>
              <w:t xml:space="preserve">Error en picos &gt;10.000</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1.996,5</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3.032,2</w:t>
            </w:r>
          </w:p>
        </w:tc>
        <w:tc>
          <w:tcPr>
            <w:tcW w:type="dxa" w:w="2200"/>
            <w:tcMar>
              <w:top w:type="dxa" w:w="80"/>
              <w:left w:type="dxa" w:w="120"/>
              <w:bottom w:type="dxa" w:w="80"/>
              <w:right w:type="dxa" w:w="120"/>
            </w:tcMar>
            <w:vAlign w:val="center"/>
          </w:tcPr>
          <w:p>
            <w:r>
              <w:rPr>
                <w:b w:val="false"/>
                <w:bCs w:val="false"/>
                <w:i w:val="false"/>
                <w:iCs w:val="false"/>
                <w:sz w:val="20"/>
                <w:szCs w:val="20"/>
              </w:rPr>
              <w:t xml:space="preserve">2.560,6</w:t>
            </w:r>
          </w:p>
        </w:tc>
      </w:tr>
    </w:tbl>
    <w:p>
      <w:pPr>
        <w:spacing w:after="160"/>
      </w:pPr>
    </w:p>
    <w:p>
      <w:pPr>
        <w:spacing w:after="160"/>
        <w:jc w:val="both"/>
      </w:pPr>
      <w:r>
        <w:rPr>
          <w:b/>
          <w:bCs/>
          <w:i w:val="false"/>
          <w:iCs w:val="false"/>
          <w:sz w:val="22"/>
          <w:szCs w:val="22"/>
        </w:rPr>
        <w:t xml:space="preserve">Chequeo de overfitting:</w:t>
      </w:r>
      <w:r>
        <w:rPr>
          <w:b w:val="false"/>
          <w:bCs w:val="false"/>
          <w:i w:val="false"/>
          <w:iCs w:val="false"/>
          <w:sz w:val="22"/>
          <w:szCs w:val="22"/>
        </w:rPr>
        <w:t xml:space="preserve"> el error en entrenamiento sube (RMSE 213,03 a 235,98) y el de prueba baja (408,75 a 398,75); la brecha pasa de 195,72 a 162,77. El modelo quedó más regularizado, no más memorizador. La mejora es modesta (≈ 2,4% de RMSE), por lo que los parámetros base ya eran razonables. Los hiperparámetros se eligieron sin mirar el período de prueba, pero las decisiones de diseño de las iteraciones 7 y 8 sí se tomaron observando resultados en ese período.</w:t>
      </w:r>
    </w:p>
    <w:p>
      <w:pPr>
        <w:pStyle w:val="Heading2"/>
        <w:spacing w:after="140" w:before="280"/>
      </w:pPr>
      <w:r>
        <w:rPr>
          <w:b/>
          <w:bCs/>
          <w:i w:val="false"/>
          <w:iCs w:val="false"/>
          <w:color w:val="2E5395"/>
          <w:sz w:val="24"/>
          <w:szCs w:val="24"/>
        </w:rPr>
        <w:t xml:space="preserve">10.13 Modelo final y limitación revisada</w:t>
      </w:r>
    </w:p>
    <w:p>
      <w:pPr>
        <w:spacing w:after="160"/>
        <w:jc w:val="both"/>
      </w:pPr>
      <w:r>
        <w:rPr>
          <w:b/>
          <w:bCs/>
          <w:i w:val="false"/>
          <w:iCs w:val="false"/>
          <w:sz w:val="22"/>
          <w:szCs w:val="22"/>
        </w:rPr>
        <w:t xml:space="preserve">Modelo final:</w:t>
      </w:r>
      <w:r>
        <w:rPr>
          <w:b w:val="false"/>
          <w:bCs w:val="false"/>
          <w:i w:val="false"/>
          <w:iCs w:val="false"/>
          <w:sz w:val="22"/>
          <w:szCs w:val="22"/>
        </w:rPr>
        <w:t xml:space="preserve"> LightGBM (iteración 9) con 8 variables, que predice la variación respecto del mes anterior: la producción es </w:t>
      </w:r>
      <w:r>
        <w:rPr>
          <w:rFonts w:ascii="Consolas" w:cs="Consolas" w:eastAsia="Consolas" w:hAnsi="Consolas"/>
          <w:b w:val="false"/>
          <w:bCs w:val="false"/>
          <w:color w:val="C0392B"/>
          <w:sz w:val="20"/>
          <w:szCs w:val="20"/>
          <w:shd w:fill="F0F0F0" w:val="clear"/>
        </w:rPr>
        <w:t xml:space="preserve">prod_pet_mes_anterior</w:t>
      </w:r>
      <w:r>
        <w:rPr>
          <w:b w:val="false"/>
          <w:bCs w:val="false"/>
          <w:i w:val="false"/>
          <w:iCs w:val="false"/>
          <w:sz w:val="22"/>
          <w:szCs w:val="22"/>
        </w:rPr>
        <w:t xml:space="preserve"> + variación predicha, con piso en 0. Métricas en prueba: MAE 154,26 — RMSE 398,75 — R² 0,907. Se guarda en </w:t>
      </w:r>
      <w:r>
        <w:rPr>
          <w:rFonts w:ascii="Consolas" w:cs="Consolas" w:eastAsia="Consolas" w:hAnsi="Consolas"/>
          <w:b w:val="false"/>
          <w:bCs w:val="false"/>
          <w:color w:val="C0392B"/>
          <w:sz w:val="20"/>
          <w:szCs w:val="20"/>
          <w:shd w:fill="F0F0F0" w:val="clear"/>
        </w:rPr>
        <w:t xml:space="preserve">models/modelo_produccion_pet.joblib</w:t>
      </w:r>
      <w:r>
        <w:rPr>
          <w:b w:val="false"/>
          <w:bCs w:val="false"/>
          <w:i w:val="false"/>
          <w:iCs w:val="false"/>
          <w:sz w:val="22"/>
          <w:szCs w:val="22"/>
        </w:rPr>
        <w:t xml:space="preserve">, junto con </w:t>
      </w:r>
      <w:r>
        <w:rPr>
          <w:rFonts w:ascii="Consolas" w:cs="Consolas" w:eastAsia="Consolas" w:hAnsi="Consolas"/>
          <w:b w:val="false"/>
          <w:bCs w:val="false"/>
          <w:color w:val="C0392B"/>
          <w:sz w:val="20"/>
          <w:szCs w:val="20"/>
          <w:shd w:fill="F0F0F0" w:val="clear"/>
        </w:rPr>
        <w:t xml:space="preserve">models/columnas_features.joblib</w:t>
      </w:r>
      <w:r>
        <w:rPr>
          <w:b w:val="false"/>
          <w:bCs w:val="false"/>
          <w:i w:val="false"/>
          <w:iCs w:val="false"/>
          <w:sz w:val="22"/>
          <w:szCs w:val="22"/>
        </w:rPr>
        <w:t xml:space="preserve"> y </w:t>
      </w:r>
      <w:r>
        <w:rPr>
          <w:rFonts w:ascii="Consolas" w:cs="Consolas" w:eastAsia="Consolas" w:hAnsi="Consolas"/>
          <w:b w:val="false"/>
          <w:bCs w:val="false"/>
          <w:color w:val="C0392B"/>
          <w:sz w:val="20"/>
          <w:szCs w:val="20"/>
          <w:shd w:fill="F0F0F0" w:val="clear"/>
        </w:rPr>
        <w:t xml:space="preserve">models/mejores_parametros_optuna.json</w:t>
      </w:r>
      <w:r>
        <w:rPr>
          <w:b w:val="false"/>
          <w:bCs w:val="false"/>
          <w:i w:val="false"/>
          <w:iCs w:val="false"/>
          <w:sz w:val="22"/>
          <w:szCs w:val="22"/>
        </w:rPr>
        <w:t xml:space="preserve">.</w:t>
      </w:r>
    </w:p>
    <w:p>
      <w:pPr>
        <w:spacing w:after="160"/>
        <w:jc w:val="both"/>
      </w:pPr>
      <w:r>
        <w:rPr>
          <w:b/>
          <w:bCs/>
          <w:i w:val="false"/>
          <w:iCs w:val="false"/>
          <w:sz w:val="22"/>
          <w:szCs w:val="22"/>
        </w:rPr>
        <w:t xml:space="preserve">Limitación (aceptada):</w:t>
      </w:r>
      <w:r>
        <w:rPr>
          <w:b w:val="false"/>
          <w:bCs w:val="false"/>
          <w:i w:val="false"/>
          <w:iCs w:val="false"/>
          <w:sz w:val="22"/>
          <w:szCs w:val="22"/>
        </w:rPr>
        <w:t xml:space="preserve"> el modelo sigue subestimando los picos muy altos (error medio de 2.561 en meses con más de 10.000) y en esos meses repetir el mes anterior (1.997) sigue siendo mejor. La explicación mas probable combina que el modelo casi no vio producciones tan altas al entrenar y los árboles no extrapolan, con que los meses de pico se eligen por haber producido mucho y no se pueden anticipar con estas variables; la hipótesis de reestimulación no se confirma ni se descarta con los datos disponibles.</w:t>
      </w:r>
    </w:p>
    <w:p>
      <w:pPr>
        <w:pStyle w:val="Heading1"/>
        <w:pBdr>
          <w:bottom w:val="single" w:color="9DB3D6" w:sz="4" w:space="4"/>
        </w:pBdr>
        <w:spacing w:after="180" w:before="360"/>
      </w:pPr>
      <w:r>
        <w:rPr>
          <w:b/>
          <w:bCs/>
          <w:i w:val="false"/>
          <w:iCs w:val="false"/>
          <w:color w:val="1F3864"/>
          <w:sz w:val="30"/>
          <w:szCs w:val="30"/>
        </w:rPr>
        <w:t xml:space="preserve">11. </w:t>
      </w:r>
      <w:r>
        <w:rPr>
          <w:rFonts w:ascii="Consolas" w:cs="Consolas" w:eastAsia="Consolas" w:hAnsi="Consolas"/>
          <w:b/>
          <w:bCs/>
          <w:color w:val="1F3864"/>
          <w:sz w:val="30"/>
          <w:szCs w:val="30"/>
        </w:rPr>
        <w:t xml:space="preserve">notebooks/04_modelado_no_supervisado_dl.ipynb</w:t>
      </w:r>
      <w:r>
        <w:rPr>
          <w:b/>
          <w:bCs/>
          <w:i w:val="false"/>
          <w:iCs w:val="false"/>
          <w:color w:val="1F3864"/>
          <w:sz w:val="30"/>
          <w:szCs w:val="30"/>
        </w:rPr>
        <w:t xml:space="preserve"> — Clustering de pozos (K-Means)</w:t>
      </w:r>
    </w:p>
    <w:p>
      <w:pPr>
        <w:pStyle w:val="Heading2"/>
        <w:spacing w:after="140" w:before="280"/>
      </w:pPr>
      <w:r>
        <w:rPr>
          <w:b/>
          <w:bCs/>
          <w:i w:val="false"/>
          <w:iCs w:val="false"/>
          <w:color w:val="2E5395"/>
          <w:sz w:val="24"/>
          <w:szCs w:val="24"/>
        </w:rPr>
        <w:t xml:space="preserve">11.1 Diseño del experimento</w:t>
      </w:r>
    </w:p>
    <w:p>
      <w:pPr>
        <w:spacing w:after="100"/>
        <w:ind w:left="300"/>
      </w:pPr>
      <w:r>
        <w:rPr>
          <w:b/>
          <w:bCs/>
          <w:color w:val="1F3864"/>
          <w:sz w:val="22"/>
          <w:szCs w:val="22"/>
        </w:rPr>
        <w:t xml:space="preserve">• </w:t>
      </w:r>
      <w:r>
        <w:rPr>
          <w:b/>
          <w:bCs/>
          <w:i w:val="false"/>
          <w:iCs w:val="false"/>
          <w:sz w:val="22"/>
          <w:szCs w:val="22"/>
        </w:rPr>
        <w:t xml:space="preserve">Objetivo:</w:t>
      </w:r>
      <w:r>
        <w:rPr>
          <w:b w:val="false"/>
          <w:bCs w:val="false"/>
          <w:i w:val="false"/>
          <w:iCs w:val="false"/>
          <w:sz w:val="22"/>
          <w:szCs w:val="22"/>
        </w:rPr>
        <w:t xml:space="preserve"> agrupar los pozos según su comportamiento de producción y revisar si los pozos con picos muy altos forman un grupo propio.</w:t>
      </w:r>
    </w:p>
    <w:p>
      <w:pPr>
        <w:spacing w:after="100"/>
        <w:ind w:left="300"/>
      </w:pPr>
      <w:r>
        <w:rPr>
          <w:b/>
          <w:bCs/>
          <w:color w:val="1F3864"/>
          <w:sz w:val="22"/>
          <w:szCs w:val="22"/>
        </w:rPr>
        <w:t xml:space="preserve">• </w:t>
      </w:r>
      <w:r>
        <w:rPr>
          <w:b/>
          <w:bCs/>
          <w:i w:val="false"/>
          <w:iCs w:val="false"/>
          <w:sz w:val="22"/>
          <w:szCs w:val="22"/>
        </w:rPr>
        <w:t xml:space="preserve">Unidad de análisis:</w:t>
      </w:r>
      <w:r>
        <w:rPr>
          <w:b w:val="false"/>
          <w:bCs w:val="false"/>
          <w:i w:val="false"/>
          <w:iCs w:val="false"/>
          <w:sz w:val="22"/>
          <w:szCs w:val="22"/>
        </w:rPr>
        <w:t xml:space="preserve"> un pozo = una fila, resumido en 4 variables: </w:t>
      </w:r>
      <w:r>
        <w:rPr>
          <w:rFonts w:ascii="Consolas" w:cs="Consolas" w:eastAsia="Consolas" w:hAnsi="Consolas"/>
          <w:b w:val="false"/>
          <w:bCs w:val="false"/>
          <w:color w:val="C0392B"/>
          <w:sz w:val="20"/>
          <w:szCs w:val="20"/>
          <w:shd w:fill="F0F0F0" w:val="clear"/>
        </w:rPr>
        <w:t xml:space="preserve">pico_prod_pet</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declinacion_promedio</w:t>
      </w:r>
      <w:r>
        <w:rPr>
          <w:b w:val="false"/>
          <w:bCs w:val="false"/>
          <w:i w:val="false"/>
          <w:iCs w:val="false"/>
          <w:sz w:val="22"/>
          <w:szCs w:val="22"/>
        </w:rPr>
        <w:t xml:space="preserve"> (con </w:t>
      </w:r>
      <w:r>
        <w:rPr>
          <w:rFonts w:ascii="Consolas" w:cs="Consolas" w:eastAsia="Consolas" w:hAnsi="Consolas"/>
          <w:b w:val="false"/>
          <w:bCs w:val="false"/>
          <w:color w:val="C0392B"/>
          <w:sz w:val="20"/>
          <w:szCs w:val="20"/>
          <w:shd w:fill="F0F0F0" w:val="clear"/>
        </w:rPr>
        <w:t xml:space="preserve">declinacion_pet_anterior</w:t>
      </w:r>
      <w:r>
        <w:rPr>
          <w:b w:val="false"/>
          <w:bCs w:val="false"/>
          <w:i w:val="false"/>
          <w:iCs w:val="false"/>
          <w:sz w:val="22"/>
          <w:szCs w:val="22"/>
        </w:rPr>
        <w:t xml:space="preserve">, sin fuga de datos), </w:t>
      </w:r>
      <w:r>
        <w:rPr>
          <w:rFonts w:ascii="Consolas" w:cs="Consolas" w:eastAsia="Consolas" w:hAnsi="Consolas"/>
          <w:b w:val="false"/>
          <w:bCs w:val="false"/>
          <w:color w:val="C0392B"/>
          <w:sz w:val="20"/>
          <w:szCs w:val="20"/>
          <w:shd w:fill="F0F0F0" w:val="clear"/>
        </w:rPr>
        <w:t xml:space="preserve">antiguedad_total</w:t>
      </w:r>
      <w:r>
        <w:rPr>
          <w:b w:val="false"/>
          <w:bCs w:val="false"/>
          <w:i w:val="false"/>
          <w:iCs w:val="false"/>
          <w:sz w:val="22"/>
          <w:szCs w:val="22"/>
        </w:rPr>
        <w:t xml:space="preserve"> (meses de calendario) y </w:t>
      </w:r>
      <w:r>
        <w:rPr>
          <w:rFonts w:ascii="Consolas" w:cs="Consolas" w:eastAsia="Consolas" w:hAnsi="Consolas"/>
          <w:b w:val="false"/>
          <w:bCs w:val="false"/>
          <w:color w:val="C0392B"/>
          <w:sz w:val="20"/>
          <w:szCs w:val="20"/>
          <w:shd w:fill="F0F0F0" w:val="clear"/>
        </w:rPr>
        <w:t xml:space="preserve">ratio_gas_pet_promedio</w:t>
      </w:r>
      <w:r>
        <w:rPr>
          <w:b w:val="false"/>
          <w:bCs w:val="false"/>
          <w:i w:val="false"/>
          <w:iCs w:val="false"/>
          <w:sz w:val="22"/>
          <w:szCs w:val="22"/>
        </w:rPr>
        <w:t xml:space="preserve">.</w:t>
      </w:r>
    </w:p>
    <w:p>
      <w:pPr>
        <w:spacing w:after="100"/>
        <w:ind w:left="300"/>
      </w:pPr>
      <w:r>
        <w:rPr>
          <w:b/>
          <w:bCs/>
          <w:color w:val="1F3864"/>
          <w:sz w:val="22"/>
          <w:szCs w:val="22"/>
        </w:rPr>
        <w:t xml:space="preserve">• </w:t>
      </w:r>
      <w:r>
        <w:rPr>
          <w:b/>
          <w:bCs/>
          <w:i w:val="false"/>
          <w:iCs w:val="false"/>
          <w:sz w:val="22"/>
          <w:szCs w:val="22"/>
        </w:rPr>
        <w:t xml:space="preserve">Algoritmo:</w:t>
      </w:r>
      <w:r>
        <w:rPr>
          <w:b w:val="false"/>
          <w:bCs w:val="false"/>
          <w:i w:val="false"/>
          <w:iCs w:val="false"/>
          <w:sz w:val="22"/>
          <w:szCs w:val="22"/>
        </w:rPr>
        <w:t xml:space="preserve"> K-Means (init k-means++, n_init=10, random_state=42) sobre variables escaladas. Es interpretable y eficiente para unos 4.300 pozos.</w:t>
      </w:r>
    </w:p>
    <w:p>
      <w:pPr>
        <w:spacing w:after="100"/>
        <w:ind w:left="300"/>
      </w:pPr>
      <w:r>
        <w:rPr>
          <w:b/>
          <w:bCs/>
          <w:color w:val="1F3864"/>
          <w:sz w:val="22"/>
          <w:szCs w:val="22"/>
        </w:rPr>
        <w:t xml:space="preserve">• </w:t>
      </w:r>
      <w:r>
        <w:rPr>
          <w:b/>
          <w:bCs/>
          <w:i w:val="false"/>
          <w:iCs w:val="false"/>
          <w:sz w:val="22"/>
          <w:szCs w:val="22"/>
        </w:rPr>
        <w:t xml:space="preserve">Alternativa descartada:</w:t>
      </w:r>
      <w:r>
        <w:rPr>
          <w:b w:val="false"/>
          <w:bCs w:val="false"/>
          <w:i w:val="false"/>
          <w:iCs w:val="false"/>
          <w:sz w:val="22"/>
          <w:szCs w:val="22"/>
        </w:rPr>
        <w:t xml:space="preserve"> curvas de declinación tipo Arps por pozo (costosas de ajustar y explicar en el tiempo disponible); queda como mejora futura.</w:t>
      </w:r>
    </w:p>
    <w:p>
      <w:pPr>
        <w:pStyle w:val="Heading2"/>
        <w:spacing w:after="140" w:before="280"/>
      </w:pPr>
      <w:r>
        <w:rPr>
          <w:b/>
          <w:bCs/>
          <w:i w:val="false"/>
          <w:iCs w:val="false"/>
          <w:color w:val="2E5395"/>
          <w:sz w:val="24"/>
          <w:szCs w:val="24"/>
        </w:rPr>
        <w:t xml:space="preserve">11.2 Primera versión: resultado engañoso (descartado)</w:t>
      </w:r>
    </w:p>
    <w:p>
      <w:pPr>
        <w:spacing w:after="160"/>
        <w:jc w:val="both"/>
      </w:pPr>
      <w:r>
        <w:rPr>
          <w:b w:val="false"/>
          <w:bCs w:val="false"/>
          <w:i w:val="false"/>
          <w:iCs w:val="false"/>
          <w:sz w:val="22"/>
          <w:szCs w:val="22"/>
        </w:rPr>
        <w:t xml:space="preserve">La primera corrida usó el promedio de la declinación y del ratio. Con k = 4, </w:t>
      </w:r>
      <w:r>
        <w:rPr>
          <w:b/>
          <w:bCs/>
          <w:i w:val="false"/>
          <w:iCs w:val="false"/>
          <w:sz w:val="22"/>
          <w:szCs w:val="22"/>
        </w:rPr>
        <w:t xml:space="preserve">dos de los cuatro clusters tenían un solo pozo</w:t>
      </w:r>
      <w:r>
        <w:rPr>
          <w:b w:val="false"/>
          <w:bCs w:val="false"/>
          <w:i w:val="false"/>
          <w:iCs w:val="false"/>
          <w:sz w:val="22"/>
          <w:szCs w:val="22"/>
        </w:rPr>
        <w:t xml:space="preserve"> (el 162450, con ratio gas/petróleo de 1.339.944, y el 137343, con declinación promedio de 839.563). El silhouette de 0,542 estaba inflado por esos puntos aislados y el PCA mostraba los demás pozos aplastados en una línea. Se corrigió el origen del problema en lugar de cerrar con un k que "daba bien".</w:t>
      </w:r>
    </w:p>
    <w:p>
      <w:pPr>
        <w:pStyle w:val="Heading2"/>
        <w:spacing w:after="140" w:before="280"/>
      </w:pPr>
      <w:r>
        <w:rPr>
          <w:b/>
          <w:bCs/>
          <w:i w:val="false"/>
          <w:iCs w:val="false"/>
          <w:color w:val="2E5395"/>
          <w:sz w:val="24"/>
          <w:szCs w:val="24"/>
        </w:rPr>
        <w:t xml:space="preserve">11.3 Correcciones aplicadas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4700"/>
        <w:gridCol w:w="4650"/>
      </w:tblGrid>
      <w:tr>
        <w:trPr>
          <w:tblHeader/>
        </w:trPr>
        <w:tc>
          <w:tcPr>
            <w:tcW w:type="dxa" w:w="4700"/>
            <w:shd w:fill="1F3864" w:val="clear"/>
            <w:tcMar>
              <w:top w:type="dxa" w:w="80"/>
              <w:left w:type="dxa" w:w="120"/>
              <w:bottom w:type="dxa" w:w="80"/>
              <w:right w:type="dxa" w:w="120"/>
            </w:tcMar>
            <w:vAlign w:val="center"/>
          </w:tcPr>
          <w:p>
            <w:r>
              <w:rPr>
                <w:b/>
                <w:bCs/>
                <w:i w:val="false"/>
                <w:iCs w:val="false"/>
                <w:color w:val="FFFFFF"/>
                <w:sz w:val="20"/>
                <w:szCs w:val="20"/>
              </w:rPr>
              <w:t xml:space="preserve">Problema detectado</w:t>
            </w:r>
          </w:p>
        </w:tc>
        <w:tc>
          <w:tcPr>
            <w:tcW w:type="dxa" w:w="4650"/>
            <w:shd w:fill="1F3864" w:val="clear"/>
            <w:tcMar>
              <w:top w:type="dxa" w:w="80"/>
              <w:left w:type="dxa" w:w="120"/>
              <w:bottom w:type="dxa" w:w="80"/>
              <w:right w:type="dxa" w:w="120"/>
            </w:tcMar>
            <w:vAlign w:val="center"/>
          </w:tcPr>
          <w:p>
            <w:r>
              <w:rPr>
                <w:b/>
                <w:bCs/>
                <w:i w:val="false"/>
                <w:iCs w:val="false"/>
                <w:color w:val="FFFFFF"/>
                <w:sz w:val="20"/>
                <w:szCs w:val="20"/>
              </w:rPr>
              <w:t xml:space="preserve">Corrección</w:t>
            </w:r>
          </w:p>
        </w:tc>
      </w:tr>
      <w:tr>
        <w:tc>
          <w:tcPr>
            <w:tcW w:type="dxa" w:w="4700"/>
            <w:tcMar>
              <w:top w:type="dxa" w:w="80"/>
              <w:left w:type="dxa" w:w="120"/>
              <w:bottom w:type="dxa" w:w="80"/>
              <w:right w:type="dxa" w:w="120"/>
            </w:tcMar>
            <w:vAlign w:val="center"/>
          </w:tcPr>
          <w:p>
            <w:r>
              <w:rPr>
                <w:b w:val="false"/>
                <w:bCs w:val="false"/>
                <w:i w:val="false"/>
                <w:iCs w:val="false"/>
                <w:sz w:val="20"/>
                <w:szCs w:val="20"/>
              </w:rPr>
              <w:t xml:space="preserve">48 pozos con pico menor a 1 generan ratios absurdos</w:t>
            </w:r>
          </w:p>
        </w:tc>
        <w:tc>
          <w:tcPr>
            <w:tcW w:type="dxa" w:w="4650"/>
            <w:tcMar>
              <w:top w:type="dxa" w:w="80"/>
              <w:left w:type="dxa" w:w="120"/>
              <w:bottom w:type="dxa" w:w="80"/>
              <w:right w:type="dxa" w:w="120"/>
            </w:tcMar>
            <w:vAlign w:val="center"/>
          </w:tcPr>
          <w:p>
            <w:r>
              <w:rPr>
                <w:b w:val="false"/>
                <w:bCs w:val="false"/>
                <w:i w:val="false"/>
                <w:iCs w:val="false"/>
                <w:sz w:val="20"/>
                <w:szCs w:val="20"/>
              </w:rPr>
              <w:t xml:space="preserve">Se filtran (4.343 → 4.295 pozos)</w:t>
            </w:r>
          </w:p>
        </w:tc>
      </w:tr>
      <w:tr>
        <w:tc>
          <w:tcPr>
            <w:tcW w:type="dxa" w:w="4700"/>
            <w:tcMar>
              <w:top w:type="dxa" w:w="80"/>
              <w:left w:type="dxa" w:w="120"/>
              <w:bottom w:type="dxa" w:w="80"/>
              <w:right w:type="dxa" w:w="120"/>
            </w:tcMar>
            <w:vAlign w:val="center"/>
          </w:tcPr>
          <w:p>
            <w:r>
              <w:rPr>
                <w:b w:val="false"/>
                <w:bCs w:val="false"/>
                <w:i w:val="false"/>
                <w:iCs w:val="false"/>
                <w:sz w:val="20"/>
                <w:szCs w:val="20"/>
              </w:rPr>
              <w:t xml:space="preserve">El promedio es muy sensible a valores extremos</w:t>
            </w:r>
          </w:p>
        </w:tc>
        <w:tc>
          <w:tcPr>
            <w:tcW w:type="dxa" w:w="4650"/>
            <w:tcMar>
              <w:top w:type="dxa" w:w="80"/>
              <w:left w:type="dxa" w:w="120"/>
              <w:bottom w:type="dxa" w:w="80"/>
              <w:right w:type="dxa" w:w="120"/>
            </w:tcMar>
            <w:vAlign w:val="center"/>
          </w:tcPr>
          <w:p>
            <w:r>
              <w:rPr>
                <w:b w:val="false"/>
                <w:bCs w:val="false"/>
                <w:i w:val="false"/>
                <w:iCs w:val="false"/>
                <w:sz w:val="20"/>
                <w:szCs w:val="20"/>
              </w:rPr>
              <w:t xml:space="preserve">Mediana en declinación y ratio</w:t>
            </w:r>
          </w:p>
        </w:tc>
      </w:tr>
      <w:tr>
        <w:tc>
          <w:tcPr>
            <w:tcW w:type="dxa" w:w="4700"/>
            <w:tcMar>
              <w:top w:type="dxa" w:w="80"/>
              <w:left w:type="dxa" w:w="120"/>
              <w:bottom w:type="dxa" w:w="80"/>
              <w:right w:type="dxa" w:w="120"/>
            </w:tcMar>
            <w:vAlign w:val="center"/>
          </w:tcPr>
          <w:p>
            <w:r>
              <w:rPr>
                <w:b w:val="false"/>
                <w:bCs w:val="false"/>
                <w:i w:val="false"/>
                <w:iCs w:val="false"/>
                <w:sz w:val="20"/>
                <w:szCs w:val="20"/>
              </w:rPr>
              <w:t xml:space="preserve">La declinación no tiene techo (piso natural en -1)</w:t>
            </w:r>
          </w:p>
        </w:tc>
        <w:tc>
          <w:tcPr>
            <w:tcW w:type="dxa" w:w="4650"/>
            <w:tcMar>
              <w:top w:type="dxa" w:w="80"/>
              <w:left w:type="dxa" w:w="120"/>
              <w:bottom w:type="dxa" w:w="80"/>
              <w:right w:type="dxa" w:w="120"/>
            </w:tcMar>
            <w:vAlign w:val="center"/>
          </w:tcPr>
          <w:p>
            <w:r>
              <w:rPr>
                <w:b w:val="false"/>
                <w:bCs w:val="false"/>
                <w:i w:val="false"/>
                <w:iCs w:val="false"/>
                <w:sz w:val="20"/>
                <w:szCs w:val="20"/>
              </w:rPr>
              <w:t xml:space="preserve">Recorte entre -1 y el percentil 99 (≈ 4,46)</w:t>
            </w:r>
          </w:p>
        </w:tc>
      </w:tr>
      <w:tr>
        <w:tc>
          <w:tcPr>
            <w:tcW w:type="dxa" w:w="4700"/>
            <w:tcMar>
              <w:top w:type="dxa" w:w="80"/>
              <w:left w:type="dxa" w:w="120"/>
              <w:bottom w:type="dxa" w:w="80"/>
              <w:right w:type="dxa" w:w="120"/>
            </w:tcMar>
            <w:vAlign w:val="center"/>
          </w:tcPr>
          <w:p>
            <w:r>
              <w:rPr>
                <w:b w:val="false"/>
                <w:bCs w:val="false"/>
                <w:i w:val="false"/>
                <w:iCs w:val="false"/>
                <w:sz w:val="20"/>
                <w:szCs w:val="20"/>
              </w:rPr>
              <w:t xml:space="preserve">Pico y ratio con cola muy larga</w:t>
            </w:r>
          </w:p>
        </w:tc>
        <w:tc>
          <w:tcPr>
            <w:tcW w:type="dxa" w:w="4650"/>
            <w:tcMar>
              <w:top w:type="dxa" w:w="80"/>
              <w:left w:type="dxa" w:w="120"/>
              <w:bottom w:type="dxa" w:w="80"/>
              <w:right w:type="dxa" w:w="120"/>
            </w:tcMar>
            <w:vAlign w:val="center"/>
          </w:tcPr>
          <w:p>
            <w:r>
              <w:rPr>
                <w:rFonts w:ascii="Consolas" w:cs="Consolas" w:eastAsia="Consolas" w:hAnsi="Consolas"/>
                <w:b w:val="false"/>
                <w:bCs w:val="false"/>
                <w:color w:val="C0392B"/>
                <w:sz w:val="20"/>
                <w:szCs w:val="20"/>
                <w:shd w:fill="F0F0F0" w:val="clear"/>
              </w:rPr>
              <w:t xml:space="preserve">log1p</w:t>
            </w:r>
            <w:r>
              <w:rPr>
                <w:b w:val="false"/>
                <w:bCs w:val="false"/>
                <w:i w:val="false"/>
                <w:iCs w:val="false"/>
                <w:sz w:val="20"/>
                <w:szCs w:val="20"/>
              </w:rPr>
              <w:t xml:space="preserve"> en ambas</w:t>
            </w:r>
          </w:p>
        </w:tc>
      </w:tr>
      <w:tr>
        <w:tc>
          <w:tcPr>
            <w:tcW w:type="dxa" w:w="4700"/>
            <w:tcMar>
              <w:top w:type="dxa" w:w="80"/>
              <w:left w:type="dxa" w:w="120"/>
              <w:bottom w:type="dxa" w:w="80"/>
              <w:right w:type="dxa" w:w="120"/>
            </w:tcMar>
            <w:vAlign w:val="center"/>
          </w:tcPr>
          <w:p>
            <w:r>
              <w:rPr>
                <w:b w:val="false"/>
                <w:bCs w:val="false"/>
                <w:i w:val="false"/>
                <w:iCs w:val="false"/>
                <w:sz w:val="20"/>
                <w:szCs w:val="20"/>
              </w:rPr>
              <w:t xml:space="preserve">Variables en escalas distintas</w:t>
            </w:r>
          </w:p>
        </w:tc>
        <w:tc>
          <w:tcPr>
            <w:tcW w:type="dxa" w:w="4650"/>
            <w:tcMar>
              <w:top w:type="dxa" w:w="80"/>
              <w:left w:type="dxa" w:w="120"/>
              <w:bottom w:type="dxa" w:w="80"/>
              <w:right w:type="dxa" w:w="120"/>
            </w:tcMar>
            <w:vAlign w:val="center"/>
          </w:tcPr>
          <w:p>
            <w:r>
              <w:rPr>
                <w:b w:val="false"/>
                <w:bCs w:val="false"/>
                <w:i w:val="false"/>
                <w:iCs w:val="false"/>
                <w:sz w:val="20"/>
                <w:szCs w:val="20"/>
              </w:rPr>
              <w:t xml:space="preserve">StandardScaler</w:t>
            </w:r>
          </w:p>
        </w:tc>
      </w:tr>
    </w:tbl>
    <w:p>
      <w:pPr>
        <w:spacing w:after="160"/>
      </w:pPr>
    </w:p>
    <w:p>
      <w:pPr>
        <w:spacing w:after="160"/>
        <w:jc w:val="both"/>
      </w:pPr>
      <w:r>
        <w:rPr>
          <w:b/>
          <w:bCs/>
          <w:i w:val="false"/>
          <w:iCs w:val="false"/>
          <w:sz w:val="22"/>
          <w:szCs w:val="22"/>
        </w:rPr>
        <w:t xml:space="preserve">Cobertura:</w:t>
      </w:r>
      <w:r>
        <w:rPr>
          <w:b w:val="false"/>
          <w:bCs w:val="false"/>
          <w:i w:val="false"/>
          <w:iCs w:val="false"/>
          <w:sz w:val="22"/>
          <w:szCs w:val="22"/>
        </w:rPr>
        <w:t xml:space="preserve"> de 5.089 pozos únicos, el clustering usa 4.295; quedan afuera los gasíferos puros (nunca produjeron petróleo) y los de muy poca historia o producción casi nula.</w:t>
      </w:r>
    </w:p>
    <w:p>
      <w:pPr>
        <w:pStyle w:val="Heading2"/>
        <w:spacing w:after="140" w:before="280"/>
      </w:pPr>
      <w:r>
        <w:rPr>
          <w:b/>
          <w:bCs/>
          <w:i w:val="false"/>
          <w:iCs w:val="false"/>
          <w:color w:val="2E5395"/>
          <w:sz w:val="24"/>
          <w:szCs w:val="24"/>
        </w:rPr>
        <w:t xml:space="preserve">11.4 Elección de k</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3100"/>
        <w:gridCol w:w="3125"/>
        <w:gridCol w:w="3125"/>
      </w:tblGrid>
      <w:tr>
        <w:trPr>
          <w:tblHeader/>
        </w:trPr>
        <w:tc>
          <w:tcPr>
            <w:tcW w:type="dxa" w:w="3100"/>
            <w:shd w:fill="1F3864" w:val="clear"/>
            <w:tcMar>
              <w:top w:type="dxa" w:w="80"/>
              <w:left w:type="dxa" w:w="120"/>
              <w:bottom w:type="dxa" w:w="80"/>
              <w:right w:type="dxa" w:w="120"/>
            </w:tcMar>
            <w:vAlign w:val="center"/>
          </w:tcPr>
          <w:p>
            <w:r>
              <w:rPr>
                <w:b/>
                <w:bCs/>
                <w:i w:val="false"/>
                <w:iCs w:val="false"/>
                <w:color w:val="FFFFFF"/>
                <w:sz w:val="20"/>
                <w:szCs w:val="20"/>
              </w:rPr>
              <w:t xml:space="preserve">k</w:t>
            </w:r>
          </w:p>
        </w:tc>
        <w:tc>
          <w:tcPr>
            <w:tcW w:type="dxa" w:w="3125"/>
            <w:shd w:fill="1F3864" w:val="clear"/>
            <w:tcMar>
              <w:top w:type="dxa" w:w="80"/>
              <w:left w:type="dxa" w:w="120"/>
              <w:bottom w:type="dxa" w:w="80"/>
              <w:right w:type="dxa" w:w="120"/>
            </w:tcMar>
            <w:vAlign w:val="center"/>
          </w:tcPr>
          <w:p>
            <w:r>
              <w:rPr>
                <w:b/>
                <w:bCs/>
                <w:i w:val="false"/>
                <w:iCs w:val="false"/>
                <w:color w:val="FFFFFF"/>
                <w:sz w:val="20"/>
                <w:szCs w:val="20"/>
              </w:rPr>
              <w:t xml:space="preserve">Inercia</w:t>
            </w:r>
          </w:p>
        </w:tc>
        <w:tc>
          <w:tcPr>
            <w:tcW w:type="dxa" w:w="3125"/>
            <w:shd w:fill="1F3864" w:val="clear"/>
            <w:tcMar>
              <w:top w:type="dxa" w:w="80"/>
              <w:left w:type="dxa" w:w="120"/>
              <w:bottom w:type="dxa" w:w="80"/>
              <w:right w:type="dxa" w:w="120"/>
            </w:tcMar>
            <w:vAlign w:val="center"/>
          </w:tcPr>
          <w:p>
            <w:r>
              <w:rPr>
                <w:b/>
                <w:bCs/>
                <w:i w:val="false"/>
                <w:iCs w:val="false"/>
                <w:color w:val="FFFFFF"/>
                <w:sz w:val="20"/>
                <w:szCs w:val="20"/>
              </w:rPr>
              <w:t xml:space="preserve">Silhouette</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2</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10.367</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0,448</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3</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6.857</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0,482</w:t>
            </w:r>
          </w:p>
        </w:tc>
      </w:tr>
      <w:tr>
        <w:tc>
          <w:tcPr>
            <w:tcW w:type="dxa" w:w="3100"/>
            <w:tcMar>
              <w:top w:type="dxa" w:w="80"/>
              <w:left w:type="dxa" w:w="120"/>
              <w:bottom w:type="dxa" w:w="80"/>
              <w:right w:type="dxa" w:w="120"/>
            </w:tcMar>
            <w:vAlign w:val="center"/>
          </w:tcPr>
          <w:p>
            <w:r>
              <w:rPr>
                <w:b/>
                <w:bCs/>
                <w:i w:val="false"/>
                <w:iCs w:val="false"/>
                <w:sz w:val="20"/>
                <w:szCs w:val="20"/>
              </w:rPr>
              <w:t xml:space="preserve">4</w:t>
            </w:r>
          </w:p>
        </w:tc>
        <w:tc>
          <w:tcPr>
            <w:tcW w:type="dxa" w:w="3125"/>
            <w:tcMar>
              <w:top w:type="dxa" w:w="80"/>
              <w:left w:type="dxa" w:w="120"/>
              <w:bottom w:type="dxa" w:w="80"/>
              <w:right w:type="dxa" w:w="120"/>
            </w:tcMar>
            <w:vAlign w:val="center"/>
          </w:tcPr>
          <w:p>
            <w:r>
              <w:rPr>
                <w:b/>
                <w:bCs/>
                <w:i w:val="false"/>
                <w:iCs w:val="false"/>
                <w:sz w:val="20"/>
                <w:szCs w:val="20"/>
              </w:rPr>
              <w:t xml:space="preserve">4.479</w:t>
            </w:r>
          </w:p>
        </w:tc>
        <w:tc>
          <w:tcPr>
            <w:tcW w:type="dxa" w:w="3125"/>
            <w:tcMar>
              <w:top w:type="dxa" w:w="80"/>
              <w:left w:type="dxa" w:w="120"/>
              <w:bottom w:type="dxa" w:w="80"/>
              <w:right w:type="dxa" w:w="120"/>
            </w:tcMar>
            <w:vAlign w:val="center"/>
          </w:tcPr>
          <w:p>
            <w:r>
              <w:rPr>
                <w:b/>
                <w:bCs/>
                <w:i w:val="false"/>
                <w:iCs w:val="false"/>
                <w:sz w:val="20"/>
                <w:szCs w:val="20"/>
              </w:rPr>
              <w:t xml:space="preserve">0,473</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5</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3.829</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0,453</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6</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3.205</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0,449</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7</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2.868</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0,442</w:t>
            </w:r>
          </w:p>
        </w:tc>
      </w:tr>
      <w:tr>
        <w:tc>
          <w:tcPr>
            <w:tcW w:type="dxa" w:w="3100"/>
            <w:tcMar>
              <w:top w:type="dxa" w:w="80"/>
              <w:left w:type="dxa" w:w="120"/>
              <w:bottom w:type="dxa" w:w="80"/>
              <w:right w:type="dxa" w:w="120"/>
            </w:tcMar>
            <w:vAlign w:val="center"/>
          </w:tcPr>
          <w:p>
            <w:r>
              <w:rPr>
                <w:b w:val="false"/>
                <w:bCs w:val="false"/>
                <w:i w:val="false"/>
                <w:iCs w:val="false"/>
                <w:sz w:val="20"/>
                <w:szCs w:val="20"/>
              </w:rPr>
              <w:t xml:space="preserve">8</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2.588</w:t>
            </w:r>
          </w:p>
        </w:tc>
        <w:tc>
          <w:tcPr>
            <w:tcW w:type="dxa" w:w="3125"/>
            <w:tcMar>
              <w:top w:type="dxa" w:w="80"/>
              <w:left w:type="dxa" w:w="120"/>
              <w:bottom w:type="dxa" w:w="80"/>
              <w:right w:type="dxa" w:w="120"/>
            </w:tcMar>
            <w:vAlign w:val="center"/>
          </w:tcPr>
          <w:p>
            <w:r>
              <w:rPr>
                <w:b w:val="false"/>
                <w:bCs w:val="false"/>
                <w:i w:val="false"/>
                <w:iCs w:val="false"/>
                <w:sz w:val="20"/>
                <w:szCs w:val="20"/>
              </w:rPr>
              <w:t xml:space="preserve">0,452</w:t>
            </w:r>
          </w:p>
        </w:tc>
      </w:tr>
    </w:tbl>
    <w:p>
      <w:pPr>
        <w:spacing w:after="160"/>
      </w:pPr>
    </w:p>
    <w:p>
      <w:pPr>
        <w:spacing w:after="160"/>
        <w:jc w:val="both"/>
      </w:pPr>
      <w:r>
        <w:rPr>
          <w:b w:val="false"/>
          <w:bCs w:val="false"/>
          <w:i w:val="false"/>
          <w:iCs w:val="false"/>
          <w:sz w:val="22"/>
          <w:szCs w:val="22"/>
        </w:rPr>
        <w:t xml:space="preserve">El codo marca k = 4. El silhouette es máximo en k = 3 (0,482), pero la diferencia con k = 4 (0,473) es chica; se priorizó el k que separa grupos más fáciles de explicar.</w:t>
      </w:r>
    </w:p>
    <w:p>
      <w:pPr>
        <w:pStyle w:val="Heading2"/>
        <w:spacing w:after="140" w:before="280"/>
      </w:pPr>
      <w:r>
        <w:rPr>
          <w:b/>
          <w:bCs/>
          <w:i w:val="false"/>
          <w:iCs w:val="false"/>
          <w:color w:val="2E5395"/>
          <w:sz w:val="24"/>
          <w:szCs w:val="24"/>
        </w:rPr>
        <w:t xml:space="preserve">11.5 Perfil de los clusters</w:t>
      </w:r>
    </w:p>
    <w:tbl>
      <w:tblPr>
        <w:tblW w:type="dxa" w:w="9350"/>
        <w:tblBorders>
          <w:top w:val="single" w:color="B0B0B0" w:sz="2"/>
          <w:left w:val="single" w:color="B0B0B0" w:sz="2"/>
          <w:bottom w:val="single" w:color="B0B0B0" w:sz="2"/>
          <w:right w:val="single" w:color="B0B0B0" w:sz="2"/>
          <w:insideH w:val="single" w:color="D9D9D9" w:sz="2"/>
          <w:insideV w:val="single" w:color="D9D9D9" w:sz="2"/>
        </w:tblBorders>
      </w:tblPr>
      <w:tblGrid>
        <w:gridCol w:w="3750"/>
        <w:gridCol w:w="1000"/>
        <w:gridCol w:w="1200"/>
        <w:gridCol w:w="1900"/>
        <w:gridCol w:w="1500"/>
      </w:tblGrid>
      <w:tr>
        <w:trPr>
          <w:tblHeader/>
        </w:trPr>
        <w:tc>
          <w:tcPr>
            <w:tcW w:type="dxa" w:w="3750"/>
            <w:shd w:fill="1F3864" w:val="clear"/>
            <w:tcMar>
              <w:top w:type="dxa" w:w="80"/>
              <w:left w:type="dxa" w:w="120"/>
              <w:bottom w:type="dxa" w:w="80"/>
              <w:right w:type="dxa" w:w="120"/>
            </w:tcMar>
            <w:vAlign w:val="center"/>
          </w:tcPr>
          <w:p>
            <w:r>
              <w:rPr>
                <w:b/>
                <w:bCs/>
                <w:i w:val="false"/>
                <w:iCs w:val="false"/>
                <w:color w:val="FFFFFF"/>
                <w:sz w:val="20"/>
                <w:szCs w:val="20"/>
              </w:rPr>
              <w:t xml:space="preserve">Interpretación</w:t>
            </w:r>
          </w:p>
        </w:tc>
        <w:tc>
          <w:tcPr>
            <w:tcW w:type="dxa" w:w="1000"/>
            <w:shd w:fill="1F3864" w:val="clear"/>
            <w:tcMar>
              <w:top w:type="dxa" w:w="80"/>
              <w:left w:type="dxa" w:w="120"/>
              <w:bottom w:type="dxa" w:w="80"/>
              <w:right w:type="dxa" w:w="120"/>
            </w:tcMar>
            <w:vAlign w:val="center"/>
          </w:tcPr>
          <w:p>
            <w:r>
              <w:rPr>
                <w:b/>
                <w:bCs/>
                <w:i w:val="false"/>
                <w:iCs w:val="false"/>
                <w:color w:val="FFFFFF"/>
                <w:sz w:val="20"/>
                <w:szCs w:val="20"/>
              </w:rPr>
              <w:t xml:space="preserve">Pozos</w:t>
            </w:r>
          </w:p>
        </w:tc>
        <w:tc>
          <w:tcPr>
            <w:tcW w:type="dxa" w:w="1200"/>
            <w:shd w:fill="1F3864" w:val="clear"/>
            <w:tcMar>
              <w:top w:type="dxa" w:w="80"/>
              <w:left w:type="dxa" w:w="120"/>
              <w:bottom w:type="dxa" w:w="80"/>
              <w:right w:type="dxa" w:w="120"/>
            </w:tcMar>
            <w:vAlign w:val="center"/>
          </w:tcPr>
          <w:p>
            <w:r>
              <w:rPr>
                <w:b/>
                <w:bCs/>
                <w:i w:val="false"/>
                <w:iCs w:val="false"/>
                <w:color w:val="FFFFFF"/>
                <w:sz w:val="20"/>
                <w:szCs w:val="20"/>
              </w:rPr>
              <w:t xml:space="preserve">Pico</w:t>
            </w:r>
          </w:p>
        </w:tc>
        <w:tc>
          <w:tcPr>
            <w:tcW w:type="dxa" w:w="1900"/>
            <w:shd w:fill="1F3864" w:val="clear"/>
            <w:tcMar>
              <w:top w:type="dxa" w:w="80"/>
              <w:left w:type="dxa" w:w="120"/>
              <w:bottom w:type="dxa" w:w="80"/>
              <w:right w:type="dxa" w:w="120"/>
            </w:tcMar>
            <w:vAlign w:val="center"/>
          </w:tcPr>
          <w:p>
            <w:r>
              <w:rPr>
                <w:b/>
                <w:bCs/>
                <w:i w:val="false"/>
                <w:iCs w:val="false"/>
                <w:color w:val="FFFFFF"/>
                <w:sz w:val="20"/>
                <w:szCs w:val="20"/>
              </w:rPr>
              <w:t xml:space="preserve">Antigüedad (meses)</w:t>
            </w:r>
          </w:p>
        </w:tc>
        <w:tc>
          <w:tcPr>
            <w:tcW w:type="dxa" w:w="1500"/>
            <w:shd w:fill="1F3864" w:val="clear"/>
            <w:tcMar>
              <w:top w:type="dxa" w:w="80"/>
              <w:left w:type="dxa" w:w="120"/>
              <w:bottom w:type="dxa" w:w="80"/>
              <w:right w:type="dxa" w:w="120"/>
            </w:tcMar>
            <w:vAlign w:val="center"/>
          </w:tcPr>
          <w:p>
            <w:r>
              <w:rPr>
                <w:b/>
                <w:bCs/>
                <w:i w:val="false"/>
                <w:iCs w:val="false"/>
                <w:color w:val="FFFFFF"/>
                <w:sz w:val="20"/>
                <w:szCs w:val="20"/>
              </w:rPr>
              <w:t xml:space="preserve">Ratio gas/pet</w:t>
            </w:r>
          </w:p>
        </w:tc>
      </w:tr>
      <w:tr>
        <w:tc>
          <w:tcPr>
            <w:tcW w:type="dxa" w:w="3750"/>
            <w:tcMar>
              <w:top w:type="dxa" w:w="80"/>
              <w:left w:type="dxa" w:w="120"/>
              <w:bottom w:type="dxa" w:w="80"/>
              <w:right w:type="dxa" w:w="120"/>
            </w:tcMar>
            <w:vAlign w:val="center"/>
          </w:tcPr>
          <w:p>
            <w:r>
              <w:rPr>
                <w:b/>
                <w:bCs/>
                <w:i w:val="false"/>
                <w:iCs w:val="false"/>
                <w:sz w:val="20"/>
                <w:szCs w:val="20"/>
              </w:rPr>
              <w:t xml:space="preserve">Modernos de alta producción de petróleo</w:t>
            </w:r>
          </w:p>
        </w:tc>
        <w:tc>
          <w:tcPr>
            <w:tcW w:type="dxa" w:w="1000"/>
            <w:tcMar>
              <w:top w:type="dxa" w:w="80"/>
              <w:left w:type="dxa" w:w="120"/>
              <w:bottom w:type="dxa" w:w="80"/>
              <w:right w:type="dxa" w:w="120"/>
            </w:tcMar>
            <w:vAlign w:val="center"/>
          </w:tcPr>
          <w:p>
            <w:r>
              <w:rPr>
                <w:b w:val="false"/>
                <w:bCs w:val="false"/>
                <w:i w:val="false"/>
                <w:iCs w:val="false"/>
                <w:sz w:val="20"/>
                <w:szCs w:val="20"/>
              </w:rPr>
              <w:t xml:space="preserve">2.038</w:t>
            </w:r>
          </w:p>
        </w:tc>
        <w:tc>
          <w:tcPr>
            <w:tcW w:type="dxa" w:w="1200"/>
            <w:tcMar>
              <w:top w:type="dxa" w:w="80"/>
              <w:left w:type="dxa" w:w="120"/>
              <w:bottom w:type="dxa" w:w="80"/>
              <w:right w:type="dxa" w:w="120"/>
            </w:tcMar>
            <w:vAlign w:val="center"/>
          </w:tcPr>
          <w:p>
            <w:r>
              <w:rPr>
                <w:b w:val="false"/>
                <w:bCs w:val="false"/>
                <w:i w:val="false"/>
                <w:iCs w:val="false"/>
                <w:sz w:val="20"/>
                <w:szCs w:val="20"/>
              </w:rPr>
              <w:t xml:space="preserve">5.251</w:t>
            </w:r>
          </w:p>
        </w:tc>
        <w:tc>
          <w:tcPr>
            <w:tcW w:type="dxa" w:w="1900"/>
            <w:tcMar>
              <w:top w:type="dxa" w:w="80"/>
              <w:left w:type="dxa" w:w="120"/>
              <w:bottom w:type="dxa" w:w="80"/>
              <w:right w:type="dxa" w:w="120"/>
            </w:tcMar>
            <w:vAlign w:val="center"/>
          </w:tcPr>
          <w:p>
            <w:r>
              <w:rPr>
                <w:b w:val="false"/>
                <w:bCs w:val="false"/>
                <w:i w:val="false"/>
                <w:iCs w:val="false"/>
                <w:sz w:val="20"/>
                <w:szCs w:val="20"/>
              </w:rPr>
              <w:t xml:space="preserve">33</w:t>
            </w:r>
          </w:p>
        </w:tc>
        <w:tc>
          <w:tcPr>
            <w:tcW w:type="dxa" w:w="1500"/>
            <w:tcMar>
              <w:top w:type="dxa" w:w="80"/>
              <w:left w:type="dxa" w:w="120"/>
              <w:bottom w:type="dxa" w:w="80"/>
              <w:right w:type="dxa" w:w="120"/>
            </w:tcMar>
            <w:vAlign w:val="center"/>
          </w:tcPr>
          <w:p>
            <w:r>
              <w:rPr>
                <w:b w:val="false"/>
                <w:bCs w:val="false"/>
                <w:i w:val="false"/>
                <w:iCs w:val="false"/>
                <w:sz w:val="20"/>
                <w:szCs w:val="20"/>
              </w:rPr>
              <w:t xml:space="preserve">0,14</w:t>
            </w:r>
          </w:p>
        </w:tc>
      </w:tr>
      <w:tr>
        <w:tc>
          <w:tcPr>
            <w:tcW w:type="dxa" w:w="3750"/>
            <w:tcMar>
              <w:top w:type="dxa" w:w="80"/>
              <w:left w:type="dxa" w:w="120"/>
              <w:bottom w:type="dxa" w:w="80"/>
              <w:right w:type="dxa" w:w="120"/>
            </w:tcMar>
            <w:vAlign w:val="center"/>
          </w:tcPr>
          <w:p>
            <w:r>
              <w:rPr>
                <w:b/>
                <w:bCs/>
                <w:i w:val="false"/>
                <w:iCs w:val="false"/>
                <w:sz w:val="20"/>
                <w:szCs w:val="20"/>
              </w:rPr>
              <w:t xml:space="preserve">Viejos de producción media</w:t>
            </w:r>
          </w:p>
        </w:tc>
        <w:tc>
          <w:tcPr>
            <w:tcW w:type="dxa" w:w="1000"/>
            <w:tcMar>
              <w:top w:type="dxa" w:w="80"/>
              <w:left w:type="dxa" w:w="120"/>
              <w:bottom w:type="dxa" w:w="80"/>
              <w:right w:type="dxa" w:w="120"/>
            </w:tcMar>
            <w:vAlign w:val="center"/>
          </w:tcPr>
          <w:p>
            <w:r>
              <w:rPr>
                <w:b w:val="false"/>
                <w:bCs w:val="false"/>
                <w:i w:val="false"/>
                <w:iCs w:val="false"/>
                <w:sz w:val="20"/>
                <w:szCs w:val="20"/>
              </w:rPr>
              <w:t xml:space="preserve">1.087</w:t>
            </w:r>
          </w:p>
        </w:tc>
        <w:tc>
          <w:tcPr>
            <w:tcW w:type="dxa" w:w="1200"/>
            <w:tcMar>
              <w:top w:type="dxa" w:w="80"/>
              <w:left w:type="dxa" w:w="120"/>
              <w:bottom w:type="dxa" w:w="80"/>
              <w:right w:type="dxa" w:w="120"/>
            </w:tcMar>
            <w:vAlign w:val="center"/>
          </w:tcPr>
          <w:p>
            <w:r>
              <w:rPr>
                <w:b w:val="false"/>
                <w:bCs w:val="false"/>
                <w:i w:val="false"/>
                <w:iCs w:val="false"/>
                <w:sz w:val="20"/>
                <w:szCs w:val="20"/>
              </w:rPr>
              <w:t xml:space="preserve">795</w:t>
            </w:r>
          </w:p>
        </w:tc>
        <w:tc>
          <w:tcPr>
            <w:tcW w:type="dxa" w:w="1900"/>
            <w:tcMar>
              <w:top w:type="dxa" w:w="80"/>
              <w:left w:type="dxa" w:w="120"/>
              <w:bottom w:type="dxa" w:w="80"/>
              <w:right w:type="dxa" w:w="120"/>
            </w:tcMar>
            <w:vAlign w:val="center"/>
          </w:tcPr>
          <w:p>
            <w:r>
              <w:rPr>
                <w:b w:val="false"/>
                <w:bCs w:val="false"/>
                <w:i w:val="false"/>
                <w:iCs w:val="false"/>
                <w:sz w:val="20"/>
                <w:szCs w:val="20"/>
              </w:rPr>
              <w:t xml:space="preserve">142</w:t>
            </w:r>
          </w:p>
        </w:tc>
        <w:tc>
          <w:tcPr>
            <w:tcW w:type="dxa" w:w="1500"/>
            <w:tcMar>
              <w:top w:type="dxa" w:w="80"/>
              <w:left w:type="dxa" w:w="120"/>
              <w:bottom w:type="dxa" w:w="80"/>
              <w:right w:type="dxa" w:w="120"/>
            </w:tcMar>
            <w:vAlign w:val="center"/>
          </w:tcPr>
          <w:p>
            <w:r>
              <w:rPr>
                <w:b w:val="false"/>
                <w:bCs w:val="false"/>
                <w:i w:val="false"/>
                <w:iCs w:val="false"/>
                <w:sz w:val="20"/>
                <w:szCs w:val="20"/>
              </w:rPr>
              <w:t xml:space="preserve">1,04</w:t>
            </w:r>
          </w:p>
        </w:tc>
      </w:tr>
      <w:tr>
        <w:tc>
          <w:tcPr>
            <w:tcW w:type="dxa" w:w="3750"/>
            <w:tcMar>
              <w:top w:type="dxa" w:w="80"/>
              <w:left w:type="dxa" w:w="120"/>
              <w:bottom w:type="dxa" w:w="80"/>
              <w:right w:type="dxa" w:w="120"/>
            </w:tcMar>
            <w:vAlign w:val="center"/>
          </w:tcPr>
          <w:p>
            <w:r>
              <w:rPr>
                <w:b/>
                <w:bCs/>
                <w:i w:val="false"/>
                <w:iCs w:val="false"/>
                <w:sz w:val="20"/>
                <w:szCs w:val="20"/>
              </w:rPr>
              <w:t xml:space="preserve">Viejos con mucho gas y casi nada de petróleo</w:t>
            </w:r>
          </w:p>
        </w:tc>
        <w:tc>
          <w:tcPr>
            <w:tcW w:type="dxa" w:w="1000"/>
            <w:tcMar>
              <w:top w:type="dxa" w:w="80"/>
              <w:left w:type="dxa" w:w="120"/>
              <w:bottom w:type="dxa" w:w="80"/>
              <w:right w:type="dxa" w:w="120"/>
            </w:tcMar>
            <w:vAlign w:val="center"/>
          </w:tcPr>
          <w:p>
            <w:r>
              <w:rPr>
                <w:b w:val="false"/>
                <w:bCs w:val="false"/>
                <w:i w:val="false"/>
                <w:iCs w:val="false"/>
                <w:sz w:val="20"/>
                <w:szCs w:val="20"/>
              </w:rPr>
              <w:t xml:space="preserve">1.095</w:t>
            </w:r>
          </w:p>
        </w:tc>
        <w:tc>
          <w:tcPr>
            <w:tcW w:type="dxa" w:w="1200"/>
            <w:tcMar>
              <w:top w:type="dxa" w:w="80"/>
              <w:left w:type="dxa" w:w="120"/>
              <w:bottom w:type="dxa" w:w="80"/>
              <w:right w:type="dxa" w:w="120"/>
            </w:tcMar>
            <w:vAlign w:val="center"/>
          </w:tcPr>
          <w:p>
            <w:r>
              <w:rPr>
                <w:b w:val="false"/>
                <w:bCs w:val="false"/>
                <w:i w:val="false"/>
                <w:iCs w:val="false"/>
                <w:sz w:val="20"/>
                <w:szCs w:val="20"/>
              </w:rPr>
              <w:t xml:space="preserve">53</w:t>
            </w:r>
          </w:p>
        </w:tc>
        <w:tc>
          <w:tcPr>
            <w:tcW w:type="dxa" w:w="1900"/>
            <w:tcMar>
              <w:top w:type="dxa" w:w="80"/>
              <w:left w:type="dxa" w:w="120"/>
              <w:bottom w:type="dxa" w:w="80"/>
              <w:right w:type="dxa" w:w="120"/>
            </w:tcMar>
            <w:vAlign w:val="center"/>
          </w:tcPr>
          <w:p>
            <w:r>
              <w:rPr>
                <w:b w:val="false"/>
                <w:bCs w:val="false"/>
                <w:i w:val="false"/>
                <w:iCs w:val="false"/>
                <w:sz w:val="20"/>
                <w:szCs w:val="20"/>
              </w:rPr>
              <w:t xml:space="preserve">104</w:t>
            </w:r>
          </w:p>
        </w:tc>
        <w:tc>
          <w:tcPr>
            <w:tcW w:type="dxa" w:w="1500"/>
            <w:tcMar>
              <w:top w:type="dxa" w:w="80"/>
              <w:left w:type="dxa" w:w="120"/>
              <w:bottom w:type="dxa" w:w="80"/>
              <w:right w:type="dxa" w:w="120"/>
            </w:tcMar>
            <w:vAlign w:val="center"/>
          </w:tcPr>
          <w:p>
            <w:r>
              <w:rPr>
                <w:b w:val="false"/>
                <w:bCs w:val="false"/>
                <w:i w:val="false"/>
                <w:iCs w:val="false"/>
                <w:sz w:val="20"/>
                <w:szCs w:val="20"/>
              </w:rPr>
              <w:t xml:space="preserve">54,76</w:t>
            </w:r>
          </w:p>
        </w:tc>
      </w:tr>
      <w:tr>
        <w:tc>
          <w:tcPr>
            <w:tcW w:type="dxa" w:w="3750"/>
            <w:tcMar>
              <w:top w:type="dxa" w:w="80"/>
              <w:left w:type="dxa" w:w="120"/>
              <w:bottom w:type="dxa" w:w="80"/>
              <w:right w:type="dxa" w:w="120"/>
            </w:tcMar>
            <w:vAlign w:val="center"/>
          </w:tcPr>
          <w:p>
            <w:r>
              <w:rPr>
                <w:b/>
                <w:bCs/>
                <w:i w:val="false"/>
                <w:iCs w:val="false"/>
                <w:sz w:val="20"/>
                <w:szCs w:val="20"/>
              </w:rPr>
              <w:t xml:space="preserve">Recién puestos en producción</w:t>
            </w:r>
          </w:p>
        </w:tc>
        <w:tc>
          <w:tcPr>
            <w:tcW w:type="dxa" w:w="1000"/>
            <w:tcMar>
              <w:top w:type="dxa" w:w="80"/>
              <w:left w:type="dxa" w:w="120"/>
              <w:bottom w:type="dxa" w:w="80"/>
              <w:right w:type="dxa" w:w="120"/>
            </w:tcMar>
            <w:vAlign w:val="center"/>
          </w:tcPr>
          <w:p>
            <w:r>
              <w:rPr>
                <w:b w:val="false"/>
                <w:bCs w:val="false"/>
                <w:i w:val="false"/>
                <w:iCs w:val="false"/>
                <w:sz w:val="20"/>
                <w:szCs w:val="20"/>
              </w:rPr>
              <w:t xml:space="preserve">75</w:t>
            </w:r>
          </w:p>
        </w:tc>
        <w:tc>
          <w:tcPr>
            <w:tcW w:type="dxa" w:w="1200"/>
            <w:tcMar>
              <w:top w:type="dxa" w:w="80"/>
              <w:left w:type="dxa" w:w="120"/>
              <w:bottom w:type="dxa" w:w="80"/>
              <w:right w:type="dxa" w:w="120"/>
            </w:tcMar>
            <w:vAlign w:val="center"/>
          </w:tcPr>
          <w:p>
            <w:r>
              <w:rPr>
                <w:b w:val="false"/>
                <w:bCs w:val="false"/>
                <w:i w:val="false"/>
                <w:iCs w:val="false"/>
                <w:sz w:val="20"/>
                <w:szCs w:val="20"/>
              </w:rPr>
              <w:t xml:space="preserve">6.053</w:t>
            </w:r>
          </w:p>
        </w:tc>
        <w:tc>
          <w:tcPr>
            <w:tcW w:type="dxa" w:w="1900"/>
            <w:tcMar>
              <w:top w:type="dxa" w:w="80"/>
              <w:left w:type="dxa" w:w="120"/>
              <w:bottom w:type="dxa" w:w="80"/>
              <w:right w:type="dxa" w:w="120"/>
            </w:tcMar>
            <w:vAlign w:val="center"/>
          </w:tcPr>
          <w:p>
            <w:r>
              <w:rPr>
                <w:b w:val="false"/>
                <w:bCs w:val="false"/>
                <w:i w:val="false"/>
                <w:iCs w:val="false"/>
                <w:sz w:val="20"/>
                <w:szCs w:val="20"/>
              </w:rPr>
              <w:t xml:space="preserve">3</w:t>
            </w:r>
          </w:p>
        </w:tc>
        <w:tc>
          <w:tcPr>
            <w:tcW w:type="dxa" w:w="1500"/>
            <w:tcMar>
              <w:top w:type="dxa" w:w="80"/>
              <w:left w:type="dxa" w:w="120"/>
              <w:bottom w:type="dxa" w:w="80"/>
              <w:right w:type="dxa" w:w="120"/>
            </w:tcMar>
            <w:vAlign w:val="center"/>
          </w:tcPr>
          <w:p>
            <w:r>
              <w:rPr>
                <w:b w:val="false"/>
                <w:bCs w:val="false"/>
                <w:i w:val="false"/>
                <w:iCs w:val="false"/>
                <w:sz w:val="20"/>
                <w:szCs w:val="20"/>
              </w:rPr>
              <w:t xml:space="preserve">0,20</w:t>
            </w:r>
          </w:p>
        </w:tc>
      </w:tr>
    </w:tbl>
    <w:p>
      <w:pPr>
        <w:spacing w:after="160"/>
      </w:pPr>
    </w:p>
    <w:p>
      <w:pPr>
        <w:spacing w:after="160"/>
        <w:jc w:val="both"/>
      </w:pPr>
      <w:r>
        <w:rPr>
          <w:b w:val="false"/>
          <w:bCs w:val="false"/>
          <w:i w:val="false"/>
          <w:iCs w:val="false"/>
          <w:sz w:val="22"/>
          <w:szCs w:val="22"/>
        </w:rPr>
        <w:t xml:space="preserve">La declinación típica casi no separa los tres clusters grandes (entre -0,02 y -0,04). Los </w:t>
      </w:r>
      <w:r>
        <w:rPr>
          <w:b/>
          <w:bCs/>
          <w:i w:val="false"/>
          <w:iCs w:val="false"/>
          <w:sz w:val="22"/>
          <w:szCs w:val="22"/>
        </w:rPr>
        <w:t xml:space="preserve">recién puestos en producción</w:t>
      </w:r>
      <w:r>
        <w:rPr>
          <w:b w:val="false"/>
          <w:bCs w:val="false"/>
          <w:i w:val="false"/>
          <w:iCs w:val="false"/>
          <w:sz w:val="22"/>
          <w:szCs w:val="22"/>
        </w:rPr>
        <w:t xml:space="preserve"> son 75 pozos, 71 de ellos con 10 meses de historia o menos; en 50 el pico es el último mes registrado, es decir que todavía están subiendo, y su "declinación" (mediana de 6,76) es en realidad el crecimiento de arranque.</w:t>
      </w:r>
    </w:p>
    <w:p>
      <w:pPr>
        <w:pStyle w:val="Heading2"/>
        <w:spacing w:after="140" w:before="280"/>
      </w:pPr>
      <w:r>
        <w:rPr>
          <w:b/>
          <w:bCs/>
          <w:i w:val="false"/>
          <w:iCs w:val="false"/>
          <w:color w:val="2E5395"/>
          <w:sz w:val="24"/>
          <w:szCs w:val="24"/>
        </w:rPr>
        <w:t xml:space="preserve">11.6 Validación visual</w:t>
      </w:r>
    </w:p>
    <w:p>
      <w:pPr>
        <w:spacing w:after="100"/>
        <w:ind w:left="300"/>
      </w:pPr>
      <w:r>
        <w:rPr>
          <w:b/>
          <w:bCs/>
          <w:color w:val="1F3864"/>
          <w:sz w:val="22"/>
          <w:szCs w:val="22"/>
        </w:rPr>
        <w:t xml:space="preserve">• </w:t>
      </w:r>
      <w:r>
        <w:rPr>
          <w:b/>
          <w:bCs/>
          <w:i w:val="false"/>
          <w:iCs w:val="false"/>
          <w:sz w:val="22"/>
          <w:szCs w:val="22"/>
        </w:rPr>
        <w:t xml:space="preserve">PCA en 2D:</w:t>
      </w:r>
      <w:r>
        <w:rPr>
          <w:b w:val="false"/>
          <w:bCs w:val="false"/>
          <w:i w:val="false"/>
          <w:iCs w:val="false"/>
          <w:sz w:val="22"/>
          <w:szCs w:val="22"/>
        </w:rPr>
        <w:t xml:space="preserve"> explica ≈ 79% de la información. Tres clusters forman un continuo que K-Means corta en tramos, con solapamiento; el de pozos recién puestos se separa claramente. Se segmenta una gradación de pozos, no grupos totalmente aislados.</w:t>
      </w:r>
    </w:p>
    <w:p>
      <w:pPr>
        <w:spacing w:after="100"/>
        <w:ind w:left="300"/>
      </w:pPr>
      <w:r>
        <w:rPr>
          <w:b/>
          <w:bCs/>
          <w:color w:val="1F3864"/>
          <w:sz w:val="22"/>
          <w:szCs w:val="22"/>
        </w:rPr>
        <w:t xml:space="preserve">• </w:t>
      </w:r>
      <w:r>
        <w:rPr>
          <w:b/>
          <w:bCs/>
          <w:i w:val="false"/>
          <w:iCs w:val="false"/>
          <w:sz w:val="22"/>
          <w:szCs w:val="22"/>
        </w:rPr>
        <w:t xml:space="preserve">Curvas representativas:</w:t>
      </w:r>
      <w:r>
        <w:rPr>
          <w:b w:val="false"/>
          <w:bCs w:val="false"/>
          <w:i w:val="false"/>
          <w:iCs w:val="false"/>
          <w:sz w:val="22"/>
          <w:szCs w:val="22"/>
        </w:rPr>
        <w:t xml:space="preserve"> tienen sentido físico. El pozo viejo con gas (159285) es casi una línea cerca de cero; el de producción media (145719) sube a 655 en el mes 8 y declina hasta unos 34; el moderno (164529) llega a 4.374 en el mes 5 y baja a unos 1.100; el recién puesto (167147) sube a 6.413 en el mes 3, con 5 meses de historia.</w:t>
      </w:r>
    </w:p>
    <w:p>
      <w:pPr>
        <w:pStyle w:val="Heading2"/>
        <w:spacing w:after="140" w:before="280"/>
      </w:pPr>
      <w:r>
        <w:rPr>
          <w:b/>
          <w:bCs/>
          <w:i w:val="false"/>
          <w:iCs w:val="false"/>
          <w:color w:val="2E5395"/>
          <w:sz w:val="24"/>
          <w:szCs w:val="24"/>
        </w:rPr>
        <w:t xml:space="preserve">11.7 Cruce con la limitación del modelo supervisado</w:t>
      </w:r>
    </w:p>
    <w:p>
      <w:pPr>
        <w:spacing w:after="160"/>
        <w:jc w:val="both"/>
      </w:pPr>
      <w:r>
        <w:rPr>
          <w:b w:val="false"/>
          <w:bCs w:val="false"/>
          <w:i w:val="false"/>
          <w:iCs w:val="false"/>
          <w:sz w:val="22"/>
          <w:szCs w:val="22"/>
        </w:rPr>
        <w:t xml:space="preserve">De los 94 pozos con pico mayor a 10.000, 88 caen en el cluster de pozos modernos y 6 en el de pozos recién puestos. Es coherente con que son los más productivos, pero no revela un subgrupo distinto: el clustering no confirma ni descarta la hipótesis de reestimulación.</w:t>
      </w:r>
    </w:p>
    <w:p>
      <w:pPr>
        <w:pStyle w:val="Heading2"/>
        <w:spacing w:after="140" w:before="280"/>
      </w:pPr>
      <w:r>
        <w:rPr>
          <w:b/>
          <w:bCs/>
          <w:i w:val="false"/>
          <w:iCs w:val="false"/>
          <w:color w:val="2E5395"/>
          <w:sz w:val="24"/>
          <w:szCs w:val="24"/>
        </w:rPr>
        <w:t xml:space="preserve">11.8 Limitaciones y archivos generados</w:t>
      </w:r>
    </w:p>
    <w:p>
      <w:pPr>
        <w:spacing w:after="100"/>
        <w:ind w:left="300"/>
      </w:pPr>
      <w:r>
        <w:rPr>
          <w:b/>
          <w:bCs/>
          <w:color w:val="1F3864"/>
          <w:sz w:val="22"/>
          <w:szCs w:val="22"/>
        </w:rPr>
        <w:t xml:space="preserve">• </w:t>
      </w:r>
      <w:r>
        <w:rPr>
          <w:b w:val="false"/>
          <w:bCs w:val="false"/>
          <w:i w:val="false"/>
          <w:iCs w:val="false"/>
          <w:sz w:val="22"/>
          <w:szCs w:val="22"/>
        </w:rPr>
        <w:t xml:space="preserve">El silhouette (≈ 0,47) indica una estructura moderada: hay grupos reales, pero se solapan en parte.</w:t>
      </w:r>
    </w:p>
    <w:p>
      <w:pPr>
        <w:spacing w:after="100"/>
        <w:ind w:left="300"/>
      </w:pPr>
      <w:r>
        <w:rPr>
          <w:b/>
          <w:bCs/>
          <w:color w:val="1F3864"/>
          <w:sz w:val="22"/>
          <w:szCs w:val="22"/>
        </w:rPr>
        <w:t xml:space="preserve">• </w:t>
      </w:r>
      <w:r>
        <w:rPr>
          <w:rFonts w:ascii="Consolas" w:cs="Consolas" w:eastAsia="Consolas" w:hAnsi="Consolas"/>
          <w:b w:val="false"/>
          <w:bCs w:val="false"/>
          <w:color w:val="C0392B"/>
          <w:sz w:val="20"/>
          <w:szCs w:val="20"/>
          <w:shd w:fill="F0F0F0" w:val="clear"/>
        </w:rPr>
        <w:t xml:space="preserve">declinacion_promedio</w:t>
      </w:r>
      <w:r>
        <w:rPr>
          <w:b w:val="false"/>
          <w:bCs w:val="false"/>
          <w:i w:val="false"/>
          <w:iCs w:val="false"/>
          <w:sz w:val="22"/>
          <w:szCs w:val="22"/>
        </w:rPr>
        <w:t xml:space="preserve"> casi no separa los clusters grandes; una mejora futura serían las curvas de Arps.</w:t>
      </w:r>
    </w:p>
    <w:p>
      <w:pPr>
        <w:spacing w:after="100"/>
        <w:ind w:left="300"/>
      </w:pPr>
      <w:r>
        <w:rPr>
          <w:b/>
          <w:bCs/>
          <w:color w:val="1F3864"/>
          <w:sz w:val="22"/>
          <w:szCs w:val="22"/>
        </w:rPr>
        <w:t xml:space="preserve">• </w:t>
      </w:r>
      <w:r>
        <w:rPr>
          <w:b w:val="false"/>
          <w:bCs w:val="false"/>
          <w:i w:val="false"/>
          <w:iCs w:val="false"/>
          <w:sz w:val="22"/>
          <w:szCs w:val="22"/>
        </w:rPr>
        <w:t xml:space="preserve">Se generan </w:t>
      </w:r>
      <w:r>
        <w:rPr>
          <w:rFonts w:ascii="Consolas" w:cs="Consolas" w:eastAsia="Consolas" w:hAnsi="Consolas"/>
          <w:b w:val="false"/>
          <w:bCs w:val="false"/>
          <w:color w:val="C0392B"/>
          <w:sz w:val="20"/>
          <w:szCs w:val="20"/>
          <w:shd w:fill="F0F0F0" w:val="clear"/>
        </w:rPr>
        <w:t xml:space="preserve">data/processed/pozos_con_cluster.csv</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models/modelo_clustering_kmeans.joblib</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models/scaler_clustering.joblib</w:t>
      </w:r>
      <w:r>
        <w:rPr>
          <w:b w:val="false"/>
          <w:bCs w:val="false"/>
          <w:i w:val="false"/>
          <w:iCs w:val="false"/>
          <w:sz w:val="22"/>
          <w:szCs w:val="22"/>
        </w:rPr>
        <w:t xml:space="preserve"> y </w:t>
      </w:r>
      <w:r>
        <w:rPr>
          <w:rFonts w:ascii="Consolas" w:cs="Consolas" w:eastAsia="Consolas" w:hAnsi="Consolas"/>
          <w:b w:val="false"/>
          <w:bCs w:val="false"/>
          <w:color w:val="C0392B"/>
          <w:sz w:val="20"/>
          <w:szCs w:val="20"/>
          <w:shd w:fill="F0F0F0" w:val="clear"/>
        </w:rPr>
        <w:t xml:space="preserve">models/tope_declinacion_clustering.joblib</w:t>
      </w:r>
      <w:r>
        <w:rPr>
          <w:b w:val="false"/>
          <w:bCs w:val="false"/>
          <w:i w:val="false"/>
          <w:iCs w:val="false"/>
          <w:sz w:val="22"/>
          <w:szCs w:val="22"/>
        </w:rPr>
        <w:t xml:space="preserve">.</w:t>
      </w:r>
    </w:p>
    <w:p>
      <w:pPr>
        <w:pStyle w:val="Heading1"/>
        <w:pBdr>
          <w:bottom w:val="single" w:color="9DB3D6" w:sz="4" w:space="4"/>
        </w:pBdr>
        <w:spacing w:after="180" w:before="360"/>
      </w:pPr>
      <w:r>
        <w:rPr>
          <w:b/>
          <w:bCs/>
          <w:i w:val="false"/>
          <w:iCs w:val="false"/>
          <w:color w:val="1F3864"/>
          <w:sz w:val="30"/>
          <w:szCs w:val="30"/>
        </w:rPr>
        <w:t xml:space="preserve">12. </w:t>
      </w:r>
      <w:r>
        <w:rPr>
          <w:rFonts w:ascii="Consolas" w:cs="Consolas" w:eastAsia="Consolas" w:hAnsi="Consolas"/>
          <w:b/>
          <w:bCs/>
          <w:color w:val="1F3864"/>
          <w:sz w:val="30"/>
          <w:szCs w:val="30"/>
        </w:rPr>
        <w:t xml:space="preserve">notebooks/05_explicabilidad_shap_dl.ipynb</w:t>
      </w:r>
      <w:r>
        <w:rPr>
          <w:b/>
          <w:bCs/>
          <w:i w:val="false"/>
          <w:iCs w:val="false"/>
          <w:color w:val="1F3864"/>
          <w:sz w:val="30"/>
          <w:szCs w:val="30"/>
        </w:rPr>
        <w:t xml:space="preserve"> — Explicabilidad con SHAP</w:t>
      </w:r>
    </w:p>
    <w:p>
      <w:pPr>
        <w:spacing w:after="160"/>
        <w:jc w:val="both"/>
      </w:pPr>
      <w:r>
        <w:rPr>
          <w:b w:val="false"/>
          <w:bCs w:val="false"/>
          <w:i w:val="false"/>
          <w:iCs w:val="false"/>
          <w:sz w:val="22"/>
          <w:szCs w:val="22"/>
        </w:rPr>
        <w:t xml:space="preserve">Se aplicó SHAP al modelo final. Como el modelo predice la variación respecto del mes anterior, los valores SHAP explican esa variación: positivo significa que la variable empuja la producción por encima de la del mes anterior.</w:t>
      </w:r>
    </w:p>
    <w:p>
      <w:pPr>
        <w:spacing w:after="100"/>
        <w:ind w:left="300"/>
      </w:pPr>
      <w:r>
        <w:rPr>
          <w:b/>
          <w:bCs/>
          <w:color w:val="1F3864"/>
          <w:sz w:val="22"/>
          <w:szCs w:val="22"/>
        </w:rPr>
        <w:t xml:space="preserve">• </w:t>
      </w:r>
      <w:r>
        <w:rPr>
          <w:b/>
          <w:bCs/>
          <w:i w:val="false"/>
          <w:iCs w:val="false"/>
          <w:sz w:val="22"/>
          <w:szCs w:val="22"/>
        </w:rPr>
        <w:t xml:space="preserve">Variable dominante:</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prod_pet_mes_anterior</w:t>
      </w:r>
      <w:r>
        <w:rPr>
          <w:b w:val="false"/>
          <w:bCs w:val="false"/>
          <w:i w:val="false"/>
          <w:iCs w:val="false"/>
          <w:sz w:val="22"/>
          <w:szCs w:val="22"/>
        </w:rPr>
        <w:t xml:space="preserve"> (SHAP promedio de 75,1), seguida de </w:t>
      </w:r>
      <w:r>
        <w:rPr>
          <w:rFonts w:ascii="Consolas" w:cs="Consolas" w:eastAsia="Consolas" w:hAnsi="Consolas"/>
          <w:b w:val="false"/>
          <w:bCs w:val="false"/>
          <w:color w:val="C0392B"/>
          <w:sz w:val="20"/>
          <w:szCs w:val="20"/>
          <w:shd w:fill="F0F0F0" w:val="clear"/>
        </w:rPr>
        <w:t xml:space="preserve">profundidad</w:t>
      </w:r>
      <w:r>
        <w:rPr>
          <w:b w:val="false"/>
          <w:bCs w:val="false"/>
          <w:i w:val="false"/>
          <w:iCs w:val="false"/>
          <w:sz w:val="22"/>
          <w:szCs w:val="22"/>
        </w:rPr>
        <w:t xml:space="preserve"> (44,3) y </w:t>
      </w:r>
      <w:r>
        <w:rPr>
          <w:rFonts w:ascii="Consolas" w:cs="Consolas" w:eastAsia="Consolas" w:hAnsi="Consolas"/>
          <w:b w:val="false"/>
          <w:bCs w:val="false"/>
          <w:color w:val="C0392B"/>
          <w:sz w:val="20"/>
          <w:szCs w:val="20"/>
          <w:shd w:fill="F0F0F0" w:val="clear"/>
        </w:rPr>
        <w:t xml:space="preserve">antiguedad_meses</w:t>
      </w:r>
      <w:r>
        <w:rPr>
          <w:b w:val="false"/>
          <w:bCs w:val="false"/>
          <w:i w:val="false"/>
          <w:iCs w:val="false"/>
          <w:sz w:val="22"/>
          <w:szCs w:val="22"/>
        </w:rPr>
        <w:t xml:space="preserve"> (23,2). Cuanto más produjo el pozo el mes anterior, más baja la variación predicha: el modelo aprendió que los pozos muy productivos tienden a declinar.</w:t>
      </w:r>
    </w:p>
    <w:p>
      <w:pPr>
        <w:spacing w:after="100"/>
        <w:ind w:left="300"/>
      </w:pPr>
      <w:r>
        <w:rPr>
          <w:b/>
          <w:bCs/>
          <w:color w:val="1F3864"/>
          <w:sz w:val="22"/>
          <w:szCs w:val="22"/>
        </w:rPr>
        <w:t xml:space="preserve">• </w:t>
      </w:r>
      <w:r>
        <w:rPr>
          <w:b/>
          <w:bCs/>
          <w:i w:val="false"/>
          <w:iCs w:val="false"/>
          <w:sz w:val="22"/>
          <w:szCs w:val="22"/>
        </w:rPr>
        <w:t xml:space="preserve">Dirección del efecto:</w:t>
      </w:r>
      <w:r>
        <w:rPr>
          <w:b w:val="false"/>
          <w:bCs w:val="false"/>
          <w:i w:val="false"/>
          <w:iCs w:val="false"/>
          <w:sz w:val="22"/>
          <w:szCs w:val="22"/>
        </w:rPr>
        <w:t xml:space="preserve"> la antigüedad aporta sobre todo en los primeros meses de vida (arranque de la producción); una declinación previa alta suma (inercia); un gas alto del mes anterior resta; la profundidad suma a partir de unos 5.000 m, probablemente porque los pozos profundos son los modernos de Vaca Muerta (asociación, no causa).</w:t>
      </w:r>
    </w:p>
    <w:p>
      <w:pPr>
        <w:spacing w:after="100"/>
        <w:ind w:left="300"/>
      </w:pPr>
      <w:r>
        <w:rPr>
          <w:b/>
          <w:bCs/>
          <w:color w:val="1F3864"/>
          <w:sz w:val="22"/>
          <w:szCs w:val="22"/>
        </w:rPr>
        <w:t xml:space="preserve">• </w:t>
      </w:r>
      <w:r>
        <w:rPr>
          <w:b/>
          <w:bCs/>
          <w:i w:val="false"/>
          <w:iCs w:val="false"/>
          <w:sz w:val="22"/>
          <w:szCs w:val="22"/>
        </w:rPr>
        <w:t xml:space="preserve">Poco aporte:</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formacion_cod</w:t>
      </w:r>
      <w:r>
        <w:rPr>
          <w:b w:val="false"/>
          <w:bCs w:val="false"/>
          <w:i w:val="false"/>
          <w:iCs w:val="false"/>
          <w:sz w:val="22"/>
          <w:szCs w:val="22"/>
        </w:rPr>
        <w:t xml:space="preserve"> (1,07) y </w:t>
      </w:r>
      <w:r>
        <w:rPr>
          <w:rFonts w:ascii="Consolas" w:cs="Consolas" w:eastAsia="Consolas" w:hAnsi="Consolas"/>
          <w:b w:val="false"/>
          <w:bCs w:val="false"/>
          <w:color w:val="C0392B"/>
          <w:sz w:val="20"/>
          <w:szCs w:val="20"/>
          <w:shd w:fill="F0F0F0" w:val="clear"/>
        </w:rPr>
        <w:t xml:space="preserve">cuenca_cod</w:t>
      </w:r>
      <w:r>
        <w:rPr>
          <w:b w:val="false"/>
          <w:bCs w:val="false"/>
          <w:i w:val="false"/>
          <w:iCs w:val="false"/>
          <w:sz w:val="22"/>
          <w:szCs w:val="22"/>
        </w:rPr>
        <w:t xml:space="preserve"> (0,00).</w:t>
      </w:r>
    </w:p>
    <w:p>
      <w:pPr>
        <w:spacing w:after="100"/>
        <w:ind w:left="300"/>
      </w:pPr>
      <w:r>
        <w:rPr>
          <w:b/>
          <w:bCs/>
          <w:color w:val="1F3864"/>
          <w:sz w:val="22"/>
          <w:szCs w:val="22"/>
        </w:rPr>
        <w:t xml:space="preserve">• </w:t>
      </w:r>
      <w:r>
        <w:rPr>
          <w:b/>
          <w:bCs/>
          <w:i w:val="false"/>
          <w:iCs w:val="false"/>
          <w:sz w:val="22"/>
          <w:szCs w:val="22"/>
        </w:rPr>
        <w:t xml:space="preserve">Picos altos:</w:t>
      </w:r>
      <w:r>
        <w:rPr>
          <w:b w:val="false"/>
          <w:bCs w:val="false"/>
          <w:i w:val="false"/>
          <w:iCs w:val="false"/>
          <w:sz w:val="22"/>
          <w:szCs w:val="22"/>
        </w:rPr>
        <w:t xml:space="preserve"> en los 60 meses con producción real mayor a 10.000, la variación real promedio fue de 1.996,5 y la predicha de -564,1: el modelo espera que un pozo muy productivo decline, pero estos meses son aquellos en que la producción subió mucho.</w:t>
      </w:r>
    </w:p>
    <w:p>
      <w:pPr>
        <w:pStyle w:val="Heading1"/>
        <w:pBdr>
          <w:bottom w:val="single" w:color="9DB3D6" w:sz="4" w:space="4"/>
        </w:pBdr>
        <w:spacing w:after="180" w:before="360"/>
      </w:pPr>
      <w:r>
        <w:rPr>
          <w:b/>
          <w:bCs/>
          <w:i w:val="false"/>
          <w:iCs w:val="false"/>
          <w:color w:val="1F3864"/>
          <w:sz w:val="30"/>
          <w:szCs w:val="30"/>
        </w:rPr>
        <w:t xml:space="preserve">13. API, frontend y Docker Compose</w:t>
      </w:r>
    </w:p>
    <w:p>
      <w:pPr>
        <w:spacing w:after="160"/>
        <w:jc w:val="both"/>
      </w:pPr>
      <w:r>
        <w:rPr>
          <w:b w:val="false"/>
          <w:bCs w:val="false"/>
          <w:i w:val="false"/>
          <w:iCs w:val="false"/>
          <w:sz w:val="22"/>
          <w:szCs w:val="22"/>
        </w:rPr>
        <w:t xml:space="preserve">Se armó el producto final del proyecto: una API que estima la producción de petróleo del mes siguiente de un pozo, un frontend de pruebas y la orquestación con Docker Compose.</w:t>
      </w:r>
    </w:p>
    <w:p>
      <w:pPr>
        <w:spacing w:after="100"/>
        <w:ind w:left="300"/>
      </w:pPr>
      <w:r>
        <w:rPr>
          <w:b/>
          <w:bCs/>
          <w:color w:val="1F3864"/>
          <w:sz w:val="22"/>
          <w:szCs w:val="22"/>
        </w:rPr>
        <w:t xml:space="preserve">• </w:t>
      </w:r>
      <w:r>
        <w:rPr>
          <w:b/>
          <w:bCs/>
          <w:i w:val="false"/>
          <w:iCs w:val="false"/>
          <w:sz w:val="22"/>
          <w:szCs w:val="22"/>
        </w:rPr>
        <w:t xml:space="preserve">Entrenamiento y predicción</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src/train.py</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src/predict.py</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train.py</w:t>
      </w:r>
      <w:r>
        <w:rPr>
          <w:b w:val="false"/>
          <w:bCs w:val="false"/>
          <w:i w:val="false"/>
          <w:iCs w:val="false"/>
          <w:sz w:val="22"/>
          <w:szCs w:val="22"/>
        </w:rPr>
        <w:t xml:space="preserve"> entrena el modelo final con los hiperparámetros de Optuna (o los base) y guarda el modelo, la lista de variables y un archivo de metadatos con métricas, rangos y opciones; </w:t>
      </w:r>
      <w:r>
        <w:rPr>
          <w:rFonts w:ascii="Consolas" w:cs="Consolas" w:eastAsia="Consolas" w:hAnsi="Consolas"/>
          <w:b w:val="false"/>
          <w:bCs w:val="false"/>
          <w:color w:val="C0392B"/>
          <w:sz w:val="20"/>
          <w:szCs w:val="20"/>
          <w:shd w:fill="F0F0F0" w:val="clear"/>
        </w:rPr>
        <w:t xml:space="preserve">predict.py</w:t>
      </w:r>
      <w:r>
        <w:rPr>
          <w:b w:val="false"/>
          <w:bCs w:val="false"/>
          <w:i w:val="false"/>
          <w:iCs w:val="false"/>
          <w:sz w:val="22"/>
          <w:szCs w:val="22"/>
        </w:rPr>
        <w:t xml:space="preserve"> suma la variación predicha al mes anterior, con piso en 0.</w:t>
      </w:r>
    </w:p>
    <w:p>
      <w:pPr>
        <w:spacing w:after="100"/>
        <w:ind w:left="300"/>
      </w:pPr>
      <w:r>
        <w:rPr>
          <w:b/>
          <w:bCs/>
          <w:color w:val="1F3864"/>
          <w:sz w:val="22"/>
          <w:szCs w:val="22"/>
        </w:rPr>
        <w:t xml:space="preserve">• </w:t>
      </w:r>
      <w:r>
        <w:rPr>
          <w:b/>
          <w:bCs/>
          <w:i w:val="false"/>
          <w:iCs w:val="false"/>
          <w:sz w:val="22"/>
          <w:szCs w:val="22"/>
        </w:rPr>
        <w:t xml:space="preserve">API</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api/app.py</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api/schemas.py</w:t>
      </w:r>
      <w:r>
        <w:rPr>
          <w:b w:val="false"/>
          <w:bCs w:val="false"/>
          <w:i w:val="false"/>
          <w:iCs w:val="false"/>
          <w:sz w:val="22"/>
          <w:szCs w:val="22"/>
        </w:rPr>
        <w:t xml:space="preserve">): FastAPI con </w:t>
      </w:r>
      <w:r>
        <w:rPr>
          <w:rFonts w:ascii="Consolas" w:cs="Consolas" w:eastAsia="Consolas" w:hAnsi="Consolas"/>
          <w:b w:val="false"/>
          <w:bCs w:val="false"/>
          <w:color w:val="C0392B"/>
          <w:sz w:val="20"/>
          <w:szCs w:val="20"/>
          <w:shd w:fill="F0F0F0" w:val="clear"/>
        </w:rPr>
        <w:t xml:space="preserve">GET /health</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GET /info</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GET /opciones</w:t>
      </w:r>
      <w:r>
        <w:rPr>
          <w:b w:val="false"/>
          <w:bCs w:val="false"/>
          <w:i w:val="false"/>
          <w:iCs w:val="false"/>
          <w:sz w:val="22"/>
          <w:szCs w:val="22"/>
        </w:rPr>
        <w:t xml:space="preserve"> y </w:t>
      </w:r>
      <w:r>
        <w:rPr>
          <w:rFonts w:ascii="Consolas" w:cs="Consolas" w:eastAsia="Consolas" w:hAnsi="Consolas"/>
          <w:b w:val="false"/>
          <w:bCs w:val="false"/>
          <w:color w:val="C0392B"/>
          <w:sz w:val="20"/>
          <w:szCs w:val="20"/>
          <w:shd w:fill="F0F0F0" w:val="clear"/>
        </w:rPr>
        <w:t xml:space="preserve">POST /predict</w:t>
      </w:r>
      <w:r>
        <w:rPr>
          <w:b w:val="false"/>
          <w:bCs w:val="false"/>
          <w:i w:val="false"/>
          <w:iCs w:val="false"/>
          <w:sz w:val="22"/>
          <w:szCs w:val="22"/>
        </w:rPr>
        <w:t xml:space="preserve">. Valida la entrada y avisa cuando un pozo se sale del rango de entrenamiento (por ejemplo, producciones por encima del máximo visto al entrenar, donde el modelo tiende a subestimar).</w:t>
      </w:r>
    </w:p>
    <w:p>
      <w:pPr>
        <w:spacing w:after="100"/>
        <w:ind w:left="300"/>
      </w:pPr>
      <w:r>
        <w:rPr>
          <w:b/>
          <w:bCs/>
          <w:color w:val="1F3864"/>
          <w:sz w:val="22"/>
          <w:szCs w:val="22"/>
        </w:rPr>
        <w:t xml:space="preserve">• </w:t>
      </w:r>
      <w:r>
        <w:rPr>
          <w:b/>
          <w:bCs/>
          <w:i w:val="false"/>
          <w:iCs w:val="false"/>
          <w:sz w:val="22"/>
          <w:szCs w:val="22"/>
        </w:rPr>
        <w:t xml:space="preserve">Frontend</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frontend/</w:t>
      </w:r>
      <w:r>
        <w:rPr>
          <w:b w:val="false"/>
          <w:bCs w:val="false"/>
          <w:i w:val="false"/>
          <w:iCs w:val="false"/>
          <w:sz w:val="22"/>
          <w:szCs w:val="22"/>
        </w:rPr>
        <w:t xml:space="preserve">): página de pruebas servida por nginx, con formulario, ejemplos reales del período de prueba, comparación contra el valor real, historial de la sesión y las métricas del modelo contra el baseline.</w:t>
      </w:r>
    </w:p>
    <w:p>
      <w:pPr>
        <w:spacing w:after="100"/>
        <w:ind w:left="300"/>
      </w:pPr>
      <w:r>
        <w:rPr>
          <w:b/>
          <w:bCs/>
          <w:color w:val="1F3864"/>
          <w:sz w:val="22"/>
          <w:szCs w:val="22"/>
        </w:rPr>
        <w:t xml:space="preserve">• </w:t>
      </w:r>
      <w:r>
        <w:rPr>
          <w:b/>
          <w:bCs/>
          <w:i w:val="false"/>
          <w:iCs w:val="false"/>
          <w:sz w:val="22"/>
          <w:szCs w:val="22"/>
        </w:rPr>
        <w:t xml:space="preserve">Docker Compose</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compose.yaml</w:t>
      </w:r>
      <w:r>
        <w:rPr>
          <w:b w:val="false"/>
          <w:bCs w:val="false"/>
          <w:i w:val="false"/>
          <w:iCs w:val="false"/>
          <w:sz w:val="22"/>
          <w:szCs w:val="22"/>
        </w:rPr>
        <w:t xml:space="preserve">, </w:t>
      </w:r>
      <w:r>
        <w:rPr>
          <w:rFonts w:ascii="Consolas" w:cs="Consolas" w:eastAsia="Consolas" w:hAnsi="Consolas"/>
          <w:b w:val="false"/>
          <w:bCs w:val="false"/>
          <w:color w:val="C0392B"/>
          <w:sz w:val="20"/>
          <w:szCs w:val="20"/>
          <w:shd w:fill="F0F0F0" w:val="clear"/>
        </w:rPr>
        <w:t xml:space="preserve">Dockerfile</w:t>
      </w:r>
      <w:r>
        <w:rPr>
          <w:b w:val="false"/>
          <w:bCs w:val="false"/>
          <w:i w:val="false"/>
          <w:iCs w:val="false"/>
          <w:sz w:val="22"/>
          <w:szCs w:val="22"/>
        </w:rPr>
        <w:t xml:space="preserve">): los servicios </w:t>
      </w:r>
      <w:r>
        <w:rPr>
          <w:rFonts w:ascii="Consolas" w:cs="Consolas" w:eastAsia="Consolas" w:hAnsi="Consolas"/>
          <w:b w:val="false"/>
          <w:bCs w:val="false"/>
          <w:color w:val="C0392B"/>
          <w:sz w:val="20"/>
          <w:szCs w:val="20"/>
          <w:shd w:fill="F0F0F0" w:val="clear"/>
        </w:rPr>
        <w:t xml:space="preserve">api</w:t>
      </w:r>
      <w:r>
        <w:rPr>
          <w:b w:val="false"/>
          <w:bCs w:val="false"/>
          <w:i w:val="false"/>
          <w:iCs w:val="false"/>
          <w:sz w:val="22"/>
          <w:szCs w:val="22"/>
        </w:rPr>
        <w:t xml:space="preserve"> y </w:t>
      </w:r>
      <w:r>
        <w:rPr>
          <w:rFonts w:ascii="Consolas" w:cs="Consolas" w:eastAsia="Consolas" w:hAnsi="Consolas"/>
          <w:b w:val="false"/>
          <w:bCs w:val="false"/>
          <w:color w:val="C0392B"/>
          <w:sz w:val="20"/>
          <w:szCs w:val="20"/>
          <w:shd w:fill="F0F0F0" w:val="clear"/>
        </w:rPr>
        <w:t xml:space="preserve">frontend</w:t>
      </w:r>
      <w:r>
        <w:rPr>
          <w:b w:val="false"/>
          <w:bCs w:val="false"/>
          <w:i w:val="false"/>
          <w:iCs w:val="false"/>
          <w:sz w:val="22"/>
          <w:szCs w:val="22"/>
        </w:rPr>
        <w:t xml:space="preserve">, y un servicio </w:t>
      </w:r>
      <w:r>
        <w:rPr>
          <w:rFonts w:ascii="Consolas" w:cs="Consolas" w:eastAsia="Consolas" w:hAnsi="Consolas"/>
          <w:b w:val="false"/>
          <w:bCs w:val="false"/>
          <w:color w:val="C0392B"/>
          <w:sz w:val="20"/>
          <w:szCs w:val="20"/>
          <w:shd w:fill="F0F0F0" w:val="clear"/>
        </w:rPr>
        <w:t xml:space="preserve">entrenar</w:t>
      </w:r>
      <w:r>
        <w:rPr>
          <w:b w:val="false"/>
          <w:bCs w:val="false"/>
          <w:i w:val="false"/>
          <w:iCs w:val="false"/>
          <w:sz w:val="22"/>
          <w:szCs w:val="22"/>
        </w:rPr>
        <w:t xml:space="preserve"> que solo corre bajo demanda (</w:t>
      </w:r>
      <w:r>
        <w:rPr>
          <w:rFonts w:ascii="Consolas" w:cs="Consolas" w:eastAsia="Consolas" w:hAnsi="Consolas"/>
          <w:b w:val="false"/>
          <w:bCs w:val="false"/>
          <w:color w:val="C0392B"/>
          <w:sz w:val="20"/>
          <w:szCs w:val="20"/>
          <w:shd w:fill="F0F0F0" w:val="clear"/>
        </w:rPr>
        <w:t xml:space="preserve">docker compose --profile train run --rm entrenar</w:t>
      </w:r>
      <w:r>
        <w:rPr>
          <w:b w:val="false"/>
          <w:bCs w:val="false"/>
          <w:i w:val="false"/>
          <w:iCs w:val="false"/>
          <w:sz w:val="22"/>
          <w:szCs w:val="22"/>
        </w:rPr>
        <w:t xml:space="preserve">); se levanta todo con </w:t>
      </w:r>
      <w:r>
        <w:rPr>
          <w:rFonts w:ascii="Consolas" w:cs="Consolas" w:eastAsia="Consolas" w:hAnsi="Consolas"/>
          <w:b w:val="false"/>
          <w:bCs w:val="false"/>
          <w:color w:val="C0392B"/>
          <w:sz w:val="20"/>
          <w:szCs w:val="20"/>
          <w:shd w:fill="F0F0F0" w:val="clear"/>
        </w:rPr>
        <w:t xml:space="preserve">docker compose up --build</w:t>
      </w:r>
      <w:r>
        <w:rPr>
          <w:b w:val="false"/>
          <w:bCs w:val="false"/>
          <w:i w:val="false"/>
          <w:iCs w:val="false"/>
          <w:sz w:val="22"/>
          <w:szCs w:val="22"/>
        </w:rPr>
        <w:t xml:space="preserve">.</w:t>
      </w:r>
    </w:p>
    <w:p>
      <w:pPr>
        <w:spacing w:after="160"/>
        <w:jc w:val="both"/>
      </w:pPr>
      <w:r>
        <w:rPr>
          <w:b/>
          <w:bCs/>
          <w:i w:val="false"/>
          <w:iCs w:val="false"/>
          <w:sz w:val="22"/>
          <w:szCs w:val="22"/>
        </w:rPr>
        <w:t xml:space="preserve">Entrada del modelo:</w:t>
      </w:r>
      <w:r>
        <w:rPr>
          <w:b w:val="false"/>
          <w:bCs w:val="false"/>
          <w:i w:val="false"/>
          <w:iCs w:val="false"/>
          <w:sz w:val="22"/>
          <w:szCs w:val="22"/>
        </w:rPr>
        <w:t xml:space="preserve"> el pozo debe tener petróleo en los dos meses previos (meses de calendario consecutivos) y al menos 3 meses de antigüedad, medida en meses de calendario; es el alcance con el que se entrenó. </w:t>
      </w:r>
      <w:r>
        <w:rPr>
          <w:b/>
          <w:bCs/>
          <w:i w:val="false"/>
          <w:iCs w:val="false"/>
          <w:sz w:val="22"/>
          <w:szCs w:val="22"/>
        </w:rPr>
        <w:t xml:space="preserve">Verificación:</w:t>
      </w:r>
      <w:r>
        <w:rPr>
          <w:b w:val="false"/>
          <w:bCs w:val="false"/>
          <w:i w:val="false"/>
          <w:iCs w:val="false"/>
          <w:sz w:val="22"/>
          <w:szCs w:val="22"/>
        </w:rPr>
        <w:t xml:space="preserve"> las variables que arma la API a partir de los datos del usuario coinciden con las del entrenamiento (diferencia numérica del orden de 1e-12 sobre 500 filas reales), y el entrenamiento de </w:t>
      </w:r>
      <w:r>
        <w:rPr>
          <w:rFonts w:ascii="Consolas" w:cs="Consolas" w:eastAsia="Consolas" w:hAnsi="Consolas"/>
          <w:b w:val="false"/>
          <w:bCs w:val="false"/>
          <w:color w:val="C0392B"/>
          <w:sz w:val="20"/>
          <w:szCs w:val="20"/>
          <w:shd w:fill="F0F0F0" w:val="clear"/>
        </w:rPr>
        <w:t xml:space="preserve">train.py</w:t>
      </w:r>
      <w:r>
        <w:rPr>
          <w:b w:val="false"/>
          <w:bCs w:val="false"/>
          <w:i w:val="false"/>
          <w:iCs w:val="false"/>
          <w:sz w:val="22"/>
          <w:szCs w:val="22"/>
        </w:rPr>
        <w:t xml:space="preserve"> reproduce las métricas del notebook 06. </w:t>
      </w:r>
      <w:r>
        <w:rPr>
          <w:b/>
          <w:bCs/>
          <w:i w:val="false"/>
          <w:iCs w:val="false"/>
          <w:sz w:val="22"/>
          <w:szCs w:val="22"/>
        </w:rPr>
        <w:t xml:space="preserve">Pendiente de confirmar:</w:t>
      </w:r>
      <w:r>
        <w:rPr>
          <w:b w:val="false"/>
          <w:bCs w:val="false"/>
          <w:i w:val="false"/>
          <w:iCs w:val="false"/>
          <w:sz w:val="22"/>
          <w:szCs w:val="22"/>
        </w:rPr>
        <w:t xml:space="preserve"> las unidades (m³ para petróleo y Mm³ para gas, la convención de la Secretaría de Energía) deben verificarse en la descripción oficial del recurso.</w:t>
      </w:r>
    </w:p>
    <w:p>
      <w:pPr>
        <w:pStyle w:val="Heading1"/>
        <w:pBdr>
          <w:bottom w:val="single" w:color="9DB3D6" w:sz="4" w:space="4"/>
        </w:pBdr>
        <w:spacing w:after="180" w:before="360"/>
      </w:pPr>
      <w:r>
        <w:rPr>
          <w:b/>
          <w:bCs/>
          <w:i w:val="false"/>
          <w:iCs w:val="false"/>
          <w:color w:val="1F3864"/>
          <w:sz w:val="30"/>
          <w:szCs w:val="30"/>
        </w:rPr>
        <w:t xml:space="preserve">14. Próximos pasos</w:t>
      </w:r>
    </w:p>
    <w:p>
      <w:pPr>
        <w:spacing w:after="120"/>
        <w:ind w:left="200"/>
      </w:pPr>
      <w:r>
        <w:rPr>
          <w:b/>
          <w:bCs/>
          <w:color w:val="1F3864"/>
          <w:sz w:val="22"/>
          <w:szCs w:val="22"/>
        </w:rPr>
        <w:t xml:space="preserve">1. </w:t>
      </w:r>
      <w:r>
        <w:rPr>
          <w:b/>
          <w:bCs/>
          <w:i w:val="false"/>
          <w:iCs w:val="false"/>
          <w:sz w:val="22"/>
          <w:szCs w:val="22"/>
        </w:rPr>
        <w:t xml:space="preserve">Entrega final:</w:t>
      </w:r>
      <w:r>
        <w:rPr>
          <w:b w:val="false"/>
          <w:bCs w:val="false"/>
          <w:i w:val="false"/>
          <w:iCs w:val="false"/>
          <w:sz w:val="22"/>
          <w:szCs w:val="22"/>
        </w:rPr>
        <w:t xml:space="preserve"> cerrar el README, preparar la presentación oral (15 minutos, con foco en la historia: preguntas, conclusiones y decisiones) y adjuntar el link del repositorio en el aula virtual.</w:t>
      </w:r>
    </w:p>
    <w:p>
      <w:pPr>
        <w:spacing w:after="120"/>
        <w:ind w:left="200"/>
      </w:pPr>
      <w:r>
        <w:rPr>
          <w:b/>
          <w:bCs/>
          <w:color w:val="1F3864"/>
          <w:sz w:val="22"/>
          <w:szCs w:val="22"/>
        </w:rPr>
        <w:t xml:space="preserve">2. </w:t>
      </w:r>
      <w:r>
        <w:rPr>
          <w:b/>
          <w:bCs/>
          <w:i w:val="false"/>
          <w:iCs w:val="false"/>
          <w:sz w:val="22"/>
          <w:szCs w:val="22"/>
        </w:rPr>
        <w:t xml:space="preserve">Repositorio:</w:t>
      </w:r>
      <w:r>
        <w:rPr>
          <w:b w:val="false"/>
          <w:bCs w:val="false"/>
          <w:i w:val="false"/>
          <w:iCs w:val="false"/>
          <w:sz w:val="22"/>
          <w:szCs w:val="22"/>
        </w:rPr>
        <w:t xml:space="preserve"> confirmar que todo esté pusheado y mergeado a </w:t>
      </w:r>
      <w:r>
        <w:rPr>
          <w:rFonts w:ascii="Consolas" w:cs="Consolas" w:eastAsia="Consolas" w:hAnsi="Consolas"/>
          <w:b w:val="false"/>
          <w:bCs w:val="false"/>
          <w:color w:val="C0392B"/>
          <w:sz w:val="20"/>
          <w:szCs w:val="20"/>
          <w:shd w:fill="F0F0F0" w:val="clear"/>
        </w:rPr>
        <w:t xml:space="preserve">main</w:t>
      </w:r>
      <w:r>
        <w:rPr>
          <w:b w:val="false"/>
          <w:bCs w:val="false"/>
          <w:i w:val="false"/>
          <w:iCs w:val="false"/>
          <w:sz w:val="22"/>
          <w:szCs w:val="22"/>
        </w:rPr>
        <w:t xml:space="preserve"> mediante Pull Request.</w:t>
      </w:r>
    </w:p>
    <w:p>
      <w:pPr>
        <w:spacing w:after="120"/>
        <w:ind w:left="200"/>
      </w:pPr>
      <w:r>
        <w:rPr>
          <w:b/>
          <w:bCs/>
          <w:color w:val="1F3864"/>
          <w:sz w:val="22"/>
          <w:szCs w:val="22"/>
        </w:rPr>
        <w:t xml:space="preserve">3. </w:t>
      </w:r>
      <w:r>
        <w:rPr>
          <w:b/>
          <w:bCs/>
          <w:i w:val="false"/>
          <w:iCs w:val="false"/>
          <w:sz w:val="22"/>
          <w:szCs w:val="22"/>
        </w:rPr>
        <w:t xml:space="preserve">Mejoras posibles:</w:t>
      </w:r>
      <w:r>
        <w:rPr>
          <w:b w:val="false"/>
          <w:bCs w:val="false"/>
          <w:i w:val="false"/>
          <w:iCs w:val="false"/>
          <w:sz w:val="22"/>
          <w:szCs w:val="22"/>
        </w:rPr>
        <w:t xml:space="preserve"> curvas de declinación tipo Arps para el clustering, y estudiar las retomas de producción con una variable que indique intervenciones en el pozo, si estuviera disponible.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Página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Proyecto Final Data Science — YPF / Vaca Muerta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2026-09-30T22:20:06.939Z</dcterms:created>
  <dcterms:modified xsi:type="dcterms:W3CDTF">2026-09-30T22:20:06.940Z</dcterms:modified>
</cp:coreProperties>
</file>

<file path=docProps/custom.xml><?xml version="1.0" encoding="utf-8"?>
<Properties xmlns="http://schemas.openxmlformats.org/officeDocument/2006/custom-properties" xmlns:vt="http://schemas.openxmlformats.org/officeDocument/2006/docPropsVTypes"/>
</file>