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Pre-Entrega 3 — Feature Engineering y Modelado Supervisado</w:t>
      </w:r>
    </w:p>
    <w:p>
      <w:pPr>
        <w:spacing w:after="300"/>
        <w:jc w:val="center"/>
      </w:pPr>
      <w:r>
        <w:rPr>
          <w:i/>
          <w:iCs/>
        </w:rPr>
        <w:t xml:space="preserve">Proyecto Final Integrador — Data Science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E2F3" w:val="clear"/>
          </w:tcPr>
          <w:p>
            <w:r>
              <w:rPr>
                <w:b/>
                <w:bCs/>
              </w:rPr>
              <w:t xml:space="preserve">Alumnos</w:t>
            </w:r>
          </w:p>
        </w:tc>
        <w:tc>
          <w:tcPr>
            <w:tcW w:type="dxa" w:w="6240"/>
          </w:tcPr>
          <w:p>
            <w:r>
              <w:rPr>
                <w:b w:val="false"/>
                <w:bCs w:val="false"/>
              </w:rPr>
              <w:t xml:space="preserve">Cristian Alejandro Aguilera, Abigail Roxana Vicentelo, Ian Lionel Tapias Díaz</w:t>
            </w:r>
          </w:p>
        </w:tc>
      </w:tr>
      <w:tr>
        <w:tc>
          <w:tcPr>
            <w:tcW w:type="dxa" w:w="3120"/>
            <w:shd w:fill="D9E2F3" w:val="clear"/>
          </w:tcPr>
          <w:p>
            <w:r>
              <w:rPr>
                <w:b/>
                <w:bCs/>
              </w:rPr>
              <w:t xml:space="preserve">Programa</w:t>
            </w:r>
          </w:p>
        </w:tc>
        <w:tc>
          <w:tcPr>
            <w:tcW w:type="dxa" w:w="6240"/>
          </w:tcPr>
          <w:p>
            <w:r>
              <w:rPr>
                <w:b w:val="false"/>
                <w:bCs w:val="false"/>
              </w:rPr>
              <w:t xml:space="preserve">Data Science 2026 (Fundación YPF - Jump)</w:t>
            </w:r>
          </w:p>
        </w:tc>
      </w:tr>
      <w:tr>
        <w:tc>
          <w:tcPr>
            <w:tcW w:type="dxa" w:w="3120"/>
            <w:shd w:fill="D9E2F3" w:val="clear"/>
          </w:tcPr>
          <w:p>
            <w:r>
              <w:rPr>
                <w:b/>
                <w:bCs/>
              </w:rPr>
              <w:t xml:space="preserve">Repositorio GitHub</w:t>
            </w:r>
          </w:p>
        </w:tc>
        <w:tc>
          <w:tcPr>
            <w:tcW w:type="dxa" w:w="6240"/>
          </w:tcPr>
          <w:p>
            <w:r>
              <w:rPr>
                <w:b w:val="false"/>
                <w:bCs w:val="false"/>
              </w:rPr>
              <w:t xml:space="preserve">https://github.com/cristian-aguilera-ing/proyecto-ds-ypf.git</w:t>
            </w:r>
          </w:p>
        </w:tc>
      </w:tr>
    </w:tbl>
    <w:p>
      <w:pPr>
        <w:spacing w:after="200"/>
      </w:pPr>
    </w:p>
    <w:p>
      <w:pPr>
        <w:pStyle w:val="Heading1"/>
        <w:spacing w:after="150" w:before="300"/>
      </w:pPr>
      <w:r>
        <w:t xml:space="preserve">1. Feature Engineering (notebooks/02_feature_engineering.ipynb)</w:t>
      </w:r>
    </w:p>
    <w:p>
      <w:pPr>
        <w:spacing w:after="160"/>
      </w:pPr>
      <w:r>
        <w:t xml:space="preserve">Sobre el dataset limpio de la Pre-Entrega 2, se construyeron variables derivadas orientadas a capturar el comportamiento temporal de cada pozo: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D9E2F3" w:val="clear"/>
          </w:tcPr>
          <w:p>
            <w:r>
              <w:rPr>
                <w:b/>
                <w:bCs/>
              </w:rPr>
              <w:t xml:space="preserve">Variable</w:t>
            </w:r>
          </w:p>
        </w:tc>
        <w:tc>
          <w:tcPr>
            <w:tcW w:type="dxa" w:w="5160"/>
            <w:shd w:fill="D9E2F3" w:val="clear"/>
          </w:tcPr>
          <w:p>
            <w:r>
              <w:rPr>
                <w:b/>
                <w:bCs/>
              </w:rPr>
              <w:t xml:space="preserve">Descripción</w:t>
            </w:r>
          </w:p>
        </w:tc>
      </w:tr>
      <w:tr>
        <w:tc>
          <w:tcPr>
            <w:tcW w:type="dxa" w:w="4200"/>
          </w:tcPr>
          <w:p>
            <w:r>
              <w:rPr>
                <w:b w:val="false"/>
                <w:bCs w:val="false"/>
              </w:rPr>
              <w:t xml:space="preserve">antiguedad_meses</w:t>
            </w:r>
          </w:p>
        </w:tc>
        <w:tc>
          <w:tcPr>
            <w:tcW w:type="dxa" w:w="5160"/>
          </w:tcPr>
          <w:p>
            <w:r>
              <w:rPr>
                <w:b w:val="false"/>
                <w:bCs w:val="false"/>
              </w:rPr>
              <w:t xml:space="preserve">Número de mes de producción del pozo (1 = primer mes registrado)</w:t>
            </w:r>
          </w:p>
        </w:tc>
      </w:tr>
      <w:tr>
        <w:tc>
          <w:tcPr>
            <w:tcW w:type="dxa" w:w="4200"/>
          </w:tcPr>
          <w:p>
            <w:r>
              <w:rPr>
                <w:b w:val="false"/>
                <w:bCs w:val="false"/>
              </w:rPr>
              <w:t xml:space="preserve">prod_pet_mes_anterior / prod_gas_mes_anterior</w:t>
            </w:r>
          </w:p>
        </w:tc>
        <w:tc>
          <w:tcPr>
            <w:tcW w:type="dxa" w:w="5160"/>
          </w:tcPr>
          <w:p>
            <w:r>
              <w:rPr>
                <w:b w:val="false"/>
                <w:bCs w:val="false"/>
              </w:rPr>
              <w:t xml:space="preserve">Producción del mes anterior (lag), por pozo</w:t>
            </w:r>
          </w:p>
        </w:tc>
      </w:tr>
      <w:tr>
        <w:tc>
          <w:tcPr>
            <w:tcW w:type="dxa" w:w="4200"/>
          </w:tcPr>
          <w:p>
            <w:r>
              <w:rPr>
                <w:b w:val="false"/>
                <w:bCs w:val="false"/>
              </w:rPr>
              <w:t xml:space="preserve">declinacion_pet / declinacion_gas</w:t>
            </w:r>
          </w:p>
        </w:tc>
        <w:tc>
          <w:tcPr>
            <w:tcW w:type="dxa" w:w="5160"/>
          </w:tcPr>
          <w:p>
            <w:r>
              <w:rPr>
                <w:b w:val="false"/>
                <w:bCs w:val="false"/>
              </w:rPr>
              <w:t xml:space="preserve">% de variación respecto al mes anterior</w:t>
            </w:r>
          </w:p>
        </w:tc>
      </w:tr>
      <w:tr>
        <w:tc>
          <w:tcPr>
            <w:tcW w:type="dxa" w:w="4200"/>
          </w:tcPr>
          <w:p>
            <w:r>
              <w:rPr>
                <w:b w:val="false"/>
                <w:bCs w:val="false"/>
              </w:rPr>
              <w:t xml:space="preserve">ratio_gas_petroleo</w:t>
            </w:r>
          </w:p>
        </w:tc>
        <w:tc>
          <w:tcPr>
            <w:tcW w:type="dxa" w:w="5160"/>
          </w:tcPr>
          <w:p>
            <w:r>
              <w:rPr>
                <w:b w:val="false"/>
                <w:bCs w:val="false"/>
              </w:rPr>
              <w:t xml:space="preserve">Relación gas/petróleo del mes</w:t>
            </w:r>
          </w:p>
        </w:tc>
      </w:tr>
      <w:tr>
        <w:tc>
          <w:tcPr>
            <w:tcW w:type="dxa" w:w="4200"/>
          </w:tcPr>
          <w:p>
            <w:r>
              <w:rPr>
                <w:b w:val="false"/>
                <w:bCs w:val="false"/>
              </w:rPr>
              <w:t xml:space="preserve">prod_pet_acumulada / prod_gas_acumulada</w:t>
            </w:r>
          </w:p>
        </w:tc>
        <w:tc>
          <w:tcPr>
            <w:tcW w:type="dxa" w:w="5160"/>
          </w:tcPr>
          <w:p>
            <w:r>
              <w:rPr>
                <w:b w:val="false"/>
                <w:bCs w:val="false"/>
              </w:rPr>
              <w:t xml:space="preserve">Producción acumulada del pozo hasta ese mes</w:t>
            </w:r>
          </w:p>
        </w:tc>
      </w:tr>
      <w:tr>
        <w:tc>
          <w:tcPr>
            <w:tcW w:type="dxa" w:w="4200"/>
          </w:tcPr>
          <w:p>
            <w:r>
              <w:rPr>
                <w:b w:val="false"/>
                <w:bCs w:val="false"/>
              </w:rPr>
              <w:t xml:space="preserve">formacion_cod / cuenca_cod</w:t>
            </w:r>
          </w:p>
        </w:tc>
        <w:tc>
          <w:tcPr>
            <w:tcW w:type="dxa" w:w="5160"/>
          </w:tcPr>
          <w:p>
            <w:r>
              <w:rPr>
                <w:b w:val="false"/>
                <w:bCs w:val="false"/>
              </w:rPr>
              <w:t xml:space="preserve">Codificación numérica de formacion y cuenca</w:t>
            </w:r>
          </w:p>
        </w:tc>
      </w:tr>
    </w:tbl>
    <w:p>
      <w:pPr>
        <w:pStyle w:val="Heading1"/>
        <w:spacing w:after="150" w:before="300"/>
      </w:pPr>
      <w:r>
        <w:t xml:space="preserve">2. Diseño del Experimento de Modelado</w:t>
      </w:r>
    </w:p>
    <w:p>
      <w:pPr>
        <w:pStyle w:val="ListParagraph"/>
        <w:numPr>
          <w:ilvl w:val="0"/>
          <w:numId w:val="1"/>
        </w:numPr>
        <w:spacing w:after="80"/>
      </w:pPr>
      <w:r>
        <w:t xml:space="preserve">Variable objetivo: prod_pet (producción mensual de petróleo por pozo).</w:t>
      </w:r>
    </w:p>
    <w:p>
      <w:pPr>
        <w:pStyle w:val="ListParagraph"/>
        <w:numPr>
          <w:ilvl w:val="0"/>
          <w:numId w:val="1"/>
        </w:numPr>
        <w:spacing w:after="80"/>
      </w:pPr>
      <w:r>
        <w:t xml:space="preserve">Modelos: XGBoost (XGBRegressor) y LightGBM (LGBMRegressor), parámetros base equivalentes (n_estimators=200, max_depth=5, learning_rate=0.1).</w:t>
      </w:r>
    </w:p>
    <w:p>
      <w:pPr>
        <w:pStyle w:val="ListParagraph"/>
        <w:numPr>
          <w:ilvl w:val="0"/>
          <w:numId w:val="1"/>
        </w:numPr>
        <w:spacing w:after="80"/>
      </w:pPr>
      <w:r>
        <w:t xml:space="preserve">Separación train/test respetando el tiempo (no aleatoria): entrenamiento con años anteriores a 2024, prueba con 2024-2025.</w:t>
      </w:r>
    </w:p>
    <w:p>
      <w:pPr>
        <w:pStyle w:val="ListParagraph"/>
        <w:numPr>
          <w:ilvl w:val="0"/>
          <w:numId w:val="1"/>
        </w:numPr>
        <w:spacing w:after="80"/>
      </w:pPr>
      <w:r>
        <w:t xml:space="preserve">Se excluyeron del entrenamiento el primer mes de cada pozo (sin "mes anterior" disponible) y el año 2026 (incompleto).</w:t>
      </w:r>
    </w:p>
    <w:p>
      <w:pPr>
        <w:pStyle w:val="Heading1"/>
        <w:spacing w:after="150" w:before="300"/>
      </w:pPr>
      <w:r>
        <w:t xml:space="preserve">3. Iteración 1 — Modelo Base (7 features, XGBoost)</w:t>
      </w:r>
    </w:p>
    <w:p>
      <w:pPr>
        <w:spacing w:after="160"/>
      </w:pPr>
      <w:r>
        <w:t xml:space="preserve">Features: antiguedad_meses, prod_pet_mes_anterior, prod_gas_mes_anterior, ratio_gas_petroleo, profundidad, formacion_cod, cuenca_cod.</w:t>
      </w:r>
    </w:p>
    <w:p>
      <w:pPr>
        <w:spacing w:after="160"/>
      </w:pPr>
      <w:r>
        <w:rPr>
          <w:b/>
          <w:bCs/>
        </w:rPr>
        <w:t xml:space="preserve">Resultado: </w:t>
      </w:r>
      <w:r>
        <w:t xml:space="preserve">MAE 195,11 — RMSE 520,31 — R² 0,853. Buen ajuste en el rango bajo-medio de producción, pero subestimación sistemática de los pozos con picos muy altos (&gt;10.000).</w:t>
      </w:r>
    </w:p>
    <w:p>
      <w:pPr>
        <w:pStyle w:val="Heading1"/>
        <w:spacing w:after="150" w:before="300"/>
      </w:pPr>
      <w:r>
        <w:t xml:space="preserve">4. Iteración 2 — Fuga de Datos Detectada y Descartada</w:t>
      </w:r>
    </w:p>
    <w:p>
      <w:pPr>
        <w:spacing w:after="160"/>
      </w:pPr>
      <w:r>
        <w:t xml:space="preserve">Se intentó agregar declinacion_pet (variación % respecto al mes actual). El R² subió a 0,978 — un salto sospechoso.</w:t>
      </w:r>
    </w:p>
    <w:p>
      <w:pPr>
        <w:spacing w:after="160"/>
      </w:pPr>
      <w:r>
        <w:rPr>
          <w:b/>
          <w:bCs/>
        </w:rPr>
        <w:t xml:space="preserve">Diagnóstico: </w:t>
      </w:r>
      <w:r>
        <w:t xml:space="preserve">declinacion_pet se calcula como (prod_pet − prod_pet_mes_anterior) / prod_pet_mes_anterior. La variable objetivo queda embebida en la fórmula de la propia feature, por lo que prod_pet se puede despejar algebraicamente. El modelo no predecía: recibía la respuesta disfrazada. Descartada.</w:t>
      </w:r>
    </w:p>
    <w:p>
      <w:pPr>
        <w:pStyle w:val="Heading1"/>
        <w:spacing w:after="150" w:before="300"/>
      </w:pPr>
      <w:r>
        <w:t xml:space="preserve">5. Iteración 3 — Modelo Corregido (8 features, XGBoost)</w:t>
      </w:r>
    </w:p>
    <w:p>
      <w:pPr>
        <w:spacing w:after="160"/>
      </w:pPr>
      <w:r>
        <w:t xml:space="preserve">Se reemplazó la variable con fuga por declinacion_pet_anterior (declinación del mes anterior al anterior — sin fuga).</w:t>
      </w:r>
    </w:p>
    <w:p>
      <w:pPr>
        <w:spacing w:after="160"/>
      </w:pPr>
      <w:r>
        <w:rPr>
          <w:b/>
          <w:bCs/>
        </w:rPr>
        <w:t xml:space="preserve">Resultado: </w:t>
      </w:r>
      <w:r>
        <w:t xml:space="preserve">MAE 163,33 — RMSE 445,42 — R² 0,885. Mejora real y modesta. El problema de subestimación de picos altos persistía.</w:t>
      </w:r>
    </w:p>
    <w:p>
      <w:pPr>
        <w:pStyle w:val="Heading1"/>
        <w:spacing w:after="150" w:before="300"/>
      </w:pPr>
      <w:r>
        <w:t xml:space="preserve">6. Iteración 4 — Máximo Histórico del Pozo (Descartada)</w:t>
      </w:r>
    </w:p>
    <w:p>
      <w:pPr>
        <w:spacing w:after="160"/>
      </w:pPr>
      <w:r>
        <w:t xml:space="preserve">Se agregó prod_pet_maxima_anterior (máximo histórico de producción del pozo, sin fuga de datos).</w:t>
      </w:r>
    </w:p>
    <w:p>
      <w:pPr>
        <w:spacing w:after="160"/>
      </w:pPr>
      <w:r>
        <w:rPr>
          <w:b/>
          <w:bCs/>
        </w:rPr>
        <w:t xml:space="preserve">Resultado: </w:t>
      </w:r>
      <w:r>
        <w:t xml:space="preserve">MAE 165,63 — RMSE 444,47 — R² 0,885. Prácticamente idéntico a la iteración 3; el modelo casi no utilizó esta variable. Descartada por no aportar mejora real.</w:t>
      </w:r>
    </w:p>
    <w:p>
      <w:pPr>
        <w:pStyle w:val="Heading1"/>
        <w:spacing w:after="150" w:before="300"/>
      </w:pPr>
      <w:r>
        <w:t xml:space="preserve">7. Iteración 5 — Log-transform del Objetivo (Descartada)</w:t>
      </w:r>
    </w:p>
    <w:p>
      <w:pPr>
        <w:spacing w:after="160"/>
      </w:pPr>
      <w:r>
        <w:t xml:space="preserve">Se entrenó el modelo sobre log(1 + prod_pet) en vez del valor directo, buscando atenuar el sesgo hacia los valores bajos.</w:t>
      </w:r>
    </w:p>
    <w:p>
      <w:pPr>
        <w:spacing w:after="160"/>
      </w:pPr>
      <w:r>
        <w:rPr>
          <w:b/>
          <w:bCs/>
        </w:rPr>
        <w:t xml:space="preserve">Resultado: </w:t>
      </w:r>
      <w:r>
        <w:t xml:space="preserve">MAE 163,09 — RMSE 501,67 — R² 0,854. El RMSE empeoró y aparecieron sobreestimaciones extremas (hasta 35.000 para pozos que producían 7.000-10.000 reales), por la amplificación del error al revertir el logaritmo. Descartada por introducir un problema más grave que el original.</w:t>
      </w:r>
    </w:p>
    <w:p>
      <w:pPr>
        <w:pStyle w:val="Heading1"/>
        <w:spacing w:after="150" w:before="300"/>
      </w:pPr>
      <w:r>
        <w:t xml:space="preserve">8. Iteración 6 — Comparación XGBoost vs. LightGBM</w:t>
      </w:r>
    </w:p>
    <w:p>
      <w:pPr>
        <w:spacing w:after="160"/>
      </w:pPr>
      <w:r>
        <w:t xml:space="preserve">La Pre-Entrega 1 especificaba entrenar y comparar modelos de regresión (XGBoost / LightGBM). Se entrenó LightGBM con las mismas 8 features de la Iteración 3, el mismo split temporal y parámetros equivalentes, para una comparación justa.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Pr>
          <w:p>
            <w:r>
              <w:rPr>
                <w:b/>
                <w:bCs/>
              </w:rPr>
              <w:t xml:space="preserve">Métrica</w:t>
            </w:r>
          </w:p>
        </w:tc>
        <w:tc>
          <w:tcPr>
            <w:tcW w:type="dxa" w:w="3120"/>
            <w:shd w:fill="D9E2F3" w:val="clear"/>
          </w:tcPr>
          <w:p>
            <w:r>
              <w:rPr>
                <w:b/>
                <w:bCs/>
              </w:rPr>
              <w:t xml:space="preserve">XGBoost</w:t>
            </w:r>
          </w:p>
        </w:tc>
        <w:tc>
          <w:tcPr>
            <w:tcW w:type="dxa" w:w="3120"/>
            <w:shd w:fill="D9E2F3" w:val="clear"/>
          </w:tcPr>
          <w:p>
            <w:r>
              <w:rPr>
                <w:b/>
                <w:bCs/>
              </w:rPr>
              <w:t xml:space="preserve">LightGBM</w:t>
            </w:r>
          </w:p>
        </w:tc>
      </w:tr>
      <w:tr>
        <w:tc>
          <w:tcPr>
            <w:tcW w:type="dxa" w:w="3120"/>
          </w:tcPr>
          <w:p>
            <w:r>
              <w:rPr>
                <w:b w:val="false"/>
                <w:bCs w:val="false"/>
              </w:rPr>
              <w:t xml:space="preserve">MAE</w:t>
            </w:r>
          </w:p>
        </w:tc>
        <w:tc>
          <w:tcPr>
            <w:tcW w:type="dxa" w:w="3120"/>
          </w:tcPr>
          <w:p>
            <w:r>
              <w:rPr>
                <w:b w:val="false"/>
                <w:bCs w:val="false"/>
              </w:rPr>
              <w:t xml:space="preserve">163,33</w:t>
            </w:r>
          </w:p>
        </w:tc>
        <w:tc>
          <w:tcPr>
            <w:tcW w:type="dxa" w:w="3120"/>
          </w:tcPr>
          <w:p>
            <w:r>
              <w:rPr>
                <w:b w:val="false"/>
                <w:bCs w:val="false"/>
              </w:rPr>
              <w:t xml:space="preserve">163,86</w:t>
            </w:r>
          </w:p>
        </w:tc>
      </w:tr>
      <w:tr>
        <w:tc>
          <w:tcPr>
            <w:tcW w:type="dxa" w:w="3120"/>
          </w:tcPr>
          <w:p>
            <w:r>
              <w:rPr>
                <w:b w:val="false"/>
                <w:bCs w:val="false"/>
              </w:rPr>
              <w:t xml:space="preserve">RMSE</w:t>
            </w:r>
          </w:p>
        </w:tc>
        <w:tc>
          <w:tcPr>
            <w:tcW w:type="dxa" w:w="3120"/>
          </w:tcPr>
          <w:p>
            <w:r>
              <w:rPr>
                <w:b w:val="false"/>
                <w:bCs w:val="false"/>
              </w:rPr>
              <w:t xml:space="preserve">445,42</w:t>
            </w:r>
          </w:p>
        </w:tc>
        <w:tc>
          <w:tcPr>
            <w:tcW w:type="dxa" w:w="3120"/>
          </w:tcPr>
          <w:p>
            <w:r>
              <w:rPr>
                <w:b w:val="false"/>
                <w:bCs w:val="false"/>
              </w:rPr>
              <w:t xml:space="preserve">439,34</w:t>
            </w:r>
          </w:p>
        </w:tc>
      </w:tr>
      <w:tr>
        <w:tc>
          <w:tcPr>
            <w:tcW w:type="dxa" w:w="3120"/>
          </w:tcPr>
          <w:p>
            <w:r>
              <w:rPr>
                <w:b w:val="false"/>
                <w:bCs w:val="false"/>
              </w:rPr>
              <w:t xml:space="preserve">R²</w:t>
            </w:r>
          </w:p>
        </w:tc>
        <w:tc>
          <w:tcPr>
            <w:tcW w:type="dxa" w:w="3120"/>
          </w:tcPr>
          <w:p>
            <w:r>
              <w:rPr>
                <w:b w:val="false"/>
                <w:bCs w:val="false"/>
              </w:rPr>
              <w:t xml:space="preserve">0,885</w:t>
            </w:r>
          </w:p>
        </w:tc>
        <w:tc>
          <w:tcPr>
            <w:tcW w:type="dxa" w:w="3120"/>
          </w:tcPr>
          <w:p>
            <w:r>
              <w:rPr>
                <w:b w:val="false"/>
                <w:bCs w:val="false"/>
              </w:rPr>
              <w:t xml:space="preserve">0,888</w:t>
            </w:r>
          </w:p>
        </w:tc>
      </w:tr>
      <w:tr>
        <w:tc>
          <w:tcPr>
            <w:tcW w:type="dxa" w:w="3120"/>
          </w:tcPr>
          <w:p>
            <w:r>
              <w:rPr>
                <w:b w:val="false"/>
                <w:bCs w:val="false"/>
              </w:rPr>
              <w:t xml:space="preserve">Error en picos altos (&gt;10.000)</w:t>
            </w:r>
          </w:p>
        </w:tc>
        <w:tc>
          <w:tcPr>
            <w:tcW w:type="dxa" w:w="3120"/>
          </w:tcPr>
          <w:p>
            <w:r>
              <w:rPr>
                <w:b w:val="false"/>
                <w:bCs w:val="false"/>
              </w:rPr>
              <w:t xml:space="preserve">5.153,7</w:t>
            </w:r>
          </w:p>
        </w:tc>
        <w:tc>
          <w:tcPr>
            <w:tcW w:type="dxa" w:w="3120"/>
          </w:tcPr>
          <w:p>
            <w:r>
              <w:rPr>
                <w:b w:val="false"/>
                <w:bCs w:val="false"/>
              </w:rPr>
              <w:t xml:space="preserve">4.998,2</w:t>
            </w:r>
          </w:p>
        </w:tc>
      </w:tr>
    </w:tbl>
    <w:p>
      <w:pPr>
        <w:spacing w:after="160"/>
      </w:pPr>
      <w:r>
        <w:rPr>
          <w:b/>
          <w:bCs/>
        </w:rPr>
        <w:t xml:space="preserve">Resultado: </w:t>
      </w:r>
      <w:r>
        <w:t xml:space="preserve">empate técnico, con ventaja marginal pero consistente de LightGBM en 3 de las 4 métricas. Se adopta LightGBM como modelo principal, conservando ambos modelos por separado para trazabilidad.</w:t>
      </w:r>
    </w:p>
    <w:p>
      <w:pPr>
        <w:spacing w:after="160"/>
      </w:pPr>
      <w:r>
        <w:t xml:space="preserve">Nota metodológica: los gráficos de importancia de variables de XGBoost (escala 0-1, basada en gain) y LightGBM (escala 0-1000, basada en split por defecto) usan métricas distintas y no son directamente comparables — la diferencia de escala no implica que un modelo haya "entendido mejor" los datos. Ambos coinciden en que prod_pet_mes_anterior es la variable dominante.</w:t>
      </w:r>
    </w:p>
    <w:p>
      <w:pPr>
        <w:pStyle w:val="Heading1"/>
        <w:spacing w:after="150" w:before="300"/>
      </w:pPr>
      <w:r>
        <w:t xml:space="preserve">9. Modelo Final y Tabla Comparativa Completa</w:t>
      </w:r>
    </w:p>
    <w:p>
      <w:pPr>
        <w:spacing w:after="160"/>
      </w:pPr>
      <w:r>
        <w:t xml:space="preserve">Tras 5 iteraciones sobre el modelo base, la combinación ganadora es LightGBM con las 8 features de la Iteración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40"/>
        <w:gridCol w:w="1340"/>
        <w:gridCol w:w="1340"/>
      </w:tblGrid>
      <w:tr>
        <w:tc>
          <w:tcPr>
            <w:tcW w:type="dxa" w:w="1340"/>
            <w:shd w:fill="D9E2F3" w:val="clear"/>
          </w:tcPr>
          <w:p>
            <w:r>
              <w:rPr>
                <w:b/>
                <w:bCs/>
              </w:rPr>
              <w:t xml:space="preserve">Métrica</w:t>
            </w:r>
          </w:p>
        </w:tc>
        <w:tc>
          <w:tcPr>
            <w:tcW w:type="dxa" w:w="1340"/>
            <w:shd w:fill="D9E2F3" w:val="clear"/>
          </w:tcPr>
          <w:p>
            <w:r>
              <w:rPr>
                <w:b/>
                <w:bCs/>
              </w:rPr>
              <w:t xml:space="preserve">Base</w:t>
            </w:r>
          </w:p>
        </w:tc>
        <w:tc>
          <w:tcPr>
            <w:tcW w:type="dxa" w:w="1340"/>
            <w:shd w:fill="D9E2F3" w:val="clear"/>
          </w:tcPr>
          <w:p>
            <w:r>
              <w:rPr>
                <w:b/>
                <w:bCs/>
              </w:rPr>
              <w:t xml:space="preserve">Con fuga (desc.)</w:t>
            </w:r>
          </w:p>
        </w:tc>
        <w:tc>
          <w:tcPr>
            <w:tcW w:type="dxa" w:w="1340"/>
            <w:shd w:fill="D9E2F3" w:val="clear"/>
          </w:tcPr>
          <w:p>
            <w:r>
              <w:rPr>
                <w:b/>
                <w:bCs/>
              </w:rPr>
              <w:t xml:space="preserve">+ máxima (desc.)</w:t>
            </w:r>
          </w:p>
        </w:tc>
        <w:tc>
          <w:tcPr>
            <w:tcW w:type="dxa" w:w="1340"/>
            <w:shd w:fill="D9E2F3" w:val="clear"/>
          </w:tcPr>
          <w:p>
            <w:r>
              <w:rPr>
                <w:b/>
                <w:bCs/>
              </w:rPr>
              <w:t xml:space="preserve">Log-transf. (desc.)</w:t>
            </w:r>
          </w:p>
        </w:tc>
        <w:tc>
          <w:tcPr>
            <w:tcW w:type="dxa" w:w="1340"/>
            <w:shd w:fill="D9E2F3" w:val="clear"/>
          </w:tcPr>
          <w:p>
            <w:r>
              <w:rPr>
                <w:b/>
                <w:bCs/>
              </w:rPr>
              <w:t xml:space="preserve">XGBoost</w:t>
            </w:r>
          </w:p>
        </w:tc>
        <w:tc>
          <w:tcPr>
            <w:tcW w:type="dxa" w:w="1340"/>
            <w:shd w:fill="D9E2F3" w:val="clear"/>
          </w:tcPr>
          <w:p>
            <w:r>
              <w:rPr>
                <w:b/>
                <w:bCs/>
              </w:rPr>
              <w:t xml:space="preserve">LightGBM FINAL</w:t>
            </w:r>
          </w:p>
        </w:tc>
      </w:tr>
      <w:tr>
        <w:tc>
          <w:tcPr>
            <w:tcW w:type="dxa" w:w="1340"/>
          </w:tcPr>
          <w:p>
            <w:r>
              <w:rPr>
                <w:b w:val="false"/>
                <w:bCs w:val="false"/>
              </w:rPr>
              <w:t xml:space="preserve">MAE</w:t>
            </w:r>
          </w:p>
        </w:tc>
        <w:tc>
          <w:tcPr>
            <w:tcW w:type="dxa" w:w="1340"/>
          </w:tcPr>
          <w:p>
            <w:r>
              <w:rPr>
                <w:b w:val="false"/>
                <w:bCs w:val="false"/>
              </w:rPr>
              <w:t xml:space="preserve">195,11</w:t>
            </w:r>
          </w:p>
        </w:tc>
        <w:tc>
          <w:tcPr>
            <w:tcW w:type="dxa" w:w="1340"/>
          </w:tcPr>
          <w:p>
            <w:r>
              <w:rPr>
                <w:b w:val="false"/>
                <w:bCs w:val="false"/>
              </w:rPr>
              <w:t xml:space="preserve">38,86</w:t>
            </w:r>
          </w:p>
        </w:tc>
        <w:tc>
          <w:tcPr>
            <w:tcW w:type="dxa" w:w="1340"/>
          </w:tcPr>
          <w:p>
            <w:r>
              <w:rPr>
                <w:b w:val="false"/>
                <w:bCs w:val="false"/>
              </w:rPr>
              <w:t xml:space="preserve">165,63</w:t>
            </w:r>
          </w:p>
        </w:tc>
        <w:tc>
          <w:tcPr>
            <w:tcW w:type="dxa" w:w="1340"/>
          </w:tcPr>
          <w:p>
            <w:r>
              <w:rPr>
                <w:b w:val="false"/>
                <w:bCs w:val="false"/>
              </w:rPr>
              <w:t xml:space="preserve">163,09</w:t>
            </w:r>
          </w:p>
        </w:tc>
        <w:tc>
          <w:tcPr>
            <w:tcW w:type="dxa" w:w="1340"/>
          </w:tcPr>
          <w:p>
            <w:r>
              <w:rPr>
                <w:b w:val="false"/>
                <w:bCs w:val="false"/>
              </w:rPr>
              <w:t xml:space="preserve">163,33</w:t>
            </w:r>
          </w:p>
        </w:tc>
        <w:tc>
          <w:tcPr>
            <w:tcW w:type="dxa" w:w="1340"/>
          </w:tcPr>
          <w:p>
            <w:r>
              <w:rPr>
                <w:b w:val="false"/>
                <w:bCs w:val="false"/>
              </w:rPr>
              <w:t xml:space="preserve">163,86</w:t>
            </w:r>
          </w:p>
        </w:tc>
      </w:tr>
      <w:tr>
        <w:tc>
          <w:tcPr>
            <w:tcW w:type="dxa" w:w="1340"/>
          </w:tcPr>
          <w:p>
            <w:r>
              <w:rPr>
                <w:b w:val="false"/>
                <w:bCs w:val="false"/>
              </w:rPr>
              <w:t xml:space="preserve">RMSE</w:t>
            </w:r>
          </w:p>
        </w:tc>
        <w:tc>
          <w:tcPr>
            <w:tcW w:type="dxa" w:w="1340"/>
          </w:tcPr>
          <w:p>
            <w:r>
              <w:rPr>
                <w:b w:val="false"/>
                <w:bCs w:val="false"/>
              </w:rPr>
              <w:t xml:space="preserve">520,31</w:t>
            </w:r>
          </w:p>
        </w:tc>
        <w:tc>
          <w:tcPr>
            <w:tcW w:type="dxa" w:w="1340"/>
          </w:tcPr>
          <w:p>
            <w:r>
              <w:rPr>
                <w:b w:val="false"/>
                <w:bCs w:val="false"/>
              </w:rPr>
              <w:t xml:space="preserve">204,07</w:t>
            </w:r>
          </w:p>
        </w:tc>
        <w:tc>
          <w:tcPr>
            <w:tcW w:type="dxa" w:w="1340"/>
          </w:tcPr>
          <w:p>
            <w:r>
              <w:rPr>
                <w:b w:val="false"/>
                <w:bCs w:val="false"/>
              </w:rPr>
              <w:t xml:space="preserve">444,47</w:t>
            </w:r>
          </w:p>
        </w:tc>
        <w:tc>
          <w:tcPr>
            <w:tcW w:type="dxa" w:w="1340"/>
          </w:tcPr>
          <w:p>
            <w:r>
              <w:rPr>
                <w:b w:val="false"/>
                <w:bCs w:val="false"/>
              </w:rPr>
              <w:t xml:space="preserve">501,67</w:t>
            </w:r>
          </w:p>
        </w:tc>
        <w:tc>
          <w:tcPr>
            <w:tcW w:type="dxa" w:w="1340"/>
          </w:tcPr>
          <w:p>
            <w:r>
              <w:rPr>
                <w:b w:val="false"/>
                <w:bCs w:val="false"/>
              </w:rPr>
              <w:t xml:space="preserve">445,42</w:t>
            </w:r>
          </w:p>
        </w:tc>
        <w:tc>
          <w:tcPr>
            <w:tcW w:type="dxa" w:w="1340"/>
          </w:tcPr>
          <w:p>
            <w:r>
              <w:rPr>
                <w:b w:val="false"/>
                <w:bCs w:val="false"/>
              </w:rPr>
              <w:t xml:space="preserve">439,34</w:t>
            </w:r>
          </w:p>
        </w:tc>
      </w:tr>
      <w:tr>
        <w:tc>
          <w:tcPr>
            <w:tcW w:type="dxa" w:w="1340"/>
          </w:tcPr>
          <w:p>
            <w:r>
              <w:rPr>
                <w:b w:val="false"/>
                <w:bCs w:val="false"/>
              </w:rPr>
              <w:t xml:space="preserve">R²</w:t>
            </w:r>
          </w:p>
        </w:tc>
        <w:tc>
          <w:tcPr>
            <w:tcW w:type="dxa" w:w="1340"/>
          </w:tcPr>
          <w:p>
            <w:r>
              <w:rPr>
                <w:b w:val="false"/>
                <w:bCs w:val="false"/>
              </w:rPr>
              <w:t xml:space="preserve">0,853</w:t>
            </w:r>
          </w:p>
        </w:tc>
        <w:tc>
          <w:tcPr>
            <w:tcW w:type="dxa" w:w="1340"/>
          </w:tcPr>
          <w:p>
            <w:r>
              <w:rPr>
                <w:b w:val="false"/>
                <w:bCs w:val="false"/>
              </w:rPr>
              <w:t xml:space="preserve">0,978</w:t>
            </w:r>
          </w:p>
        </w:tc>
        <w:tc>
          <w:tcPr>
            <w:tcW w:type="dxa" w:w="1340"/>
          </w:tcPr>
          <w:p>
            <w:r>
              <w:rPr>
                <w:b w:val="false"/>
                <w:bCs w:val="false"/>
              </w:rPr>
              <w:t xml:space="preserve">0,885</w:t>
            </w:r>
          </w:p>
        </w:tc>
        <w:tc>
          <w:tcPr>
            <w:tcW w:type="dxa" w:w="1340"/>
          </w:tcPr>
          <w:p>
            <w:r>
              <w:rPr>
                <w:b w:val="false"/>
                <w:bCs w:val="false"/>
              </w:rPr>
              <w:t xml:space="preserve">0,854</w:t>
            </w:r>
          </w:p>
        </w:tc>
        <w:tc>
          <w:tcPr>
            <w:tcW w:type="dxa" w:w="1340"/>
          </w:tcPr>
          <w:p>
            <w:r>
              <w:rPr>
                <w:b w:val="false"/>
                <w:bCs w:val="false"/>
              </w:rPr>
              <w:t xml:space="preserve">0,885</w:t>
            </w:r>
          </w:p>
        </w:tc>
        <w:tc>
          <w:tcPr>
            <w:tcW w:type="dxa" w:w="1340"/>
          </w:tcPr>
          <w:p>
            <w:r>
              <w:rPr>
                <w:b w:val="false"/>
                <w:bCs w:val="false"/>
              </w:rPr>
              <w:t xml:space="preserve">0,888</w:t>
            </w:r>
          </w:p>
        </w:tc>
      </w:tr>
    </w:tbl>
    <w:p>
      <w:pPr>
        <w:pStyle w:val="Heading1"/>
        <w:spacing w:after="150" w:before="300"/>
      </w:pPr>
      <w:r>
        <w:t xml:space="preserve">10. Limitación Conocida (Aceptada)</w:t>
      </w:r>
    </w:p>
    <w:p>
      <w:pPr>
        <w:spacing w:after="160"/>
      </w:pPr>
      <w:r>
        <w:t xml:space="preserve">En todas las versiones válidas (XGBoost y LightGBM por igual), el modelo subestima los pozos con picos de producción muy altos (posibles eventos de reestimulación/refractura). Se probaron tres enfoques distintos para resolverlo (una variable nueva, un cambio de objetivo de entrenamiento, y un segundo algoritmo) y ninguno lo resolvió de fondo. Esto sugiere que el problema no es de ingeniería sobre los datos disponibles ni de elección de algoritmo, sino de ausencia de una variable que el dataset no incluye (por ejemplo, si se programó una intervención en el pozo). Se documenta como limitación conocida y se avanza con evidencia en mano.</w:t>
      </w:r>
    </w:p>
    <w:p>
      <w:pPr>
        <w:spacing w:after="160"/>
      </w:pPr>
      <w:r>
        <w:t xml:space="preserve">El modelo LightGBM de 8 variables (Iteración 6) se guardó en models/modelo_produccion_pet_lightgbm.joblib. </w:t>
      </w:r>
      <w:r>
        <w:rPr>
          <w:b/>
          <w:bCs/>
        </w:rPr>
        <w:t xml:space="preserve">Nota posterior:</w:t>
      </w:r>
      <w:r>
        <w:t xml:space="preserve"> fue reemplazado como modelo principal por el de la Iteración 8 (secciones 11 a 13), porque usaba una variable con fuga de datos.</w:t>
      </w:r>
    </w:p>
    <w:p>
      <w:pPr>
        <w:pStyle w:val="Heading1"/>
        <w:spacing w:after="150" w:before="300"/>
      </w:pPr>
      <w:r>
        <w:t xml:space="preserve">11. Iteración 7 — Fuga de Datos en ratio_gas_petroleo (Detectada y Corregida)</w:t>
      </w:r>
    </w:p>
    <w:p>
      <w:pPr>
        <w:spacing w:after="160"/>
      </w:pPr>
      <w:r>
        <w:t xml:space="preserve">Al aplicar SHAP sobre el modelo (notebooks/05_explicabilidad_shap_dl.ipynb), ratio_gas_petroleo apareció como la segunda variable más importante (SHAP promedio de 110,6 contra 619,1 de la primera). Al revisar su definición se verificó que </w:t>
      </w:r>
      <w:r>
        <w:rPr>
          <w:b/>
          <w:bCs/>
        </w:rPr>
        <w:t xml:space="preserve">ratio_gas_petroleo = prod_gas / prod_pet del mismo mes que se quiere predecir</w:t>
      </w:r>
      <w:r>
        <w:t xml:space="preserve"> (coincide en el 100% de las filas): la producción de petróleo a predecir queda en el denominador, de modo que el modelo puede aproximar la respuesta (prod_pet ≈ gas del mes anterior / ratio). Además, ese dato no existe al momento de predecir el mes siguiente, por lo que el modelo no era utilizable en la API tal como estaba planteado.</w:t>
      </w:r>
    </w:p>
    <w:p>
      <w:pPr>
        <w:spacing w:after="160"/>
      </w:pPr>
      <w:r>
        <w:rPr>
          <w:b/>
          <w:bCs/>
        </w:rPr>
        <w:t xml:space="preserve">Corrección:</w:t>
      </w:r>
      <w:r>
        <w:t xml:space="preserve"> se reemplazó por ratio_gas_petroleo_anterior (ratio del mes anterior, shift(1) por pozo). Las iteraciones 1 a 6 usaban la versión con fuga; sus comparaciones relativas siguen siendo válidas, pero ese modelo ya no es el vigente.</w:t>
      </w:r>
    </w:p>
    <w:p>
      <w:pPr>
        <w:spacing w:after="160"/>
      </w:pPr>
      <w:r>
        <w:rPr>
          <w:b/>
          <w:bCs/>
        </w:rPr>
        <w:t xml:space="preserve">Baseline de referencia:</w:t>
      </w:r>
      <w:r>
        <w:t xml:space="preserve"> se incorporó un baseline simple, que predice que cada mes produce lo mismo que el mes anterior, para medir cuánto aporta realmente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60"/>
        <w:gridCol w:w="2200"/>
      </w:tblGrid>
      <w:tr>
        <w:tc>
          <w:tcPr>
            <w:tcW w:type="dxa" w:w="2600"/>
            <w:shd w:fill="D9E2F3" w:val="clear"/>
          </w:tcPr>
          <w:p>
            <w:r>
              <w:rPr>
                <w:b/>
                <w:bCs/>
              </w:rPr>
              <w:t xml:space="preserve">Métrica</w:t>
            </w:r>
          </w:p>
        </w:tc>
        <w:tc>
          <w:tcPr>
            <w:tcW w:type="dxa" w:w="2200"/>
            <w:shd w:fill="D9E2F3" w:val="clear"/>
          </w:tcPr>
          <w:p>
            <w:r>
              <w:rPr>
                <w:b/>
                <w:bCs/>
              </w:rPr>
              <w:t xml:space="preserve">Baseline (mes anterior)</w:t>
            </w:r>
          </w:p>
        </w:tc>
        <w:tc>
          <w:tcPr>
            <w:tcW w:type="dxa" w:w="2360"/>
            <w:shd w:fill="D9E2F3" w:val="clear"/>
          </w:tcPr>
          <w:p>
            <w:r>
              <w:rPr>
                <w:b/>
                <w:bCs/>
              </w:rPr>
              <w:t xml:space="preserve">LightGBM Iteración 6 (con fuga)*</w:t>
            </w:r>
          </w:p>
        </w:tc>
        <w:tc>
          <w:tcPr>
            <w:tcW w:type="dxa" w:w="2200"/>
            <w:shd w:fill="D9E2F3" w:val="clear"/>
          </w:tcPr>
          <w:p>
            <w:r>
              <w:rPr>
                <w:b/>
                <w:bCs/>
              </w:rPr>
              <w:t xml:space="preserve">LightGBM Iteración 7 (sin fuga)</w:t>
            </w:r>
          </w:p>
        </w:tc>
      </w:tr>
      <w:tr>
        <w:tc>
          <w:tcPr>
            <w:tcW w:type="dxa" w:w="2600"/>
          </w:tcPr>
          <w:p>
            <w:r>
              <w:rPr>
                <w:b w:val="false"/>
                <w:bCs w:val="false"/>
              </w:rPr>
              <w:t xml:space="preserve">MAE</w:t>
            </w:r>
          </w:p>
        </w:tc>
        <w:tc>
          <w:tcPr>
            <w:tcW w:type="dxa" w:w="2200"/>
          </w:tcPr>
          <w:p>
            <w:r>
              <w:rPr>
                <w:b w:val="false"/>
                <w:bCs w:val="false"/>
              </w:rPr>
              <w:t xml:space="preserve">171,77</w:t>
            </w:r>
          </w:p>
        </w:tc>
        <w:tc>
          <w:tcPr>
            <w:tcW w:type="dxa" w:w="2360"/>
          </w:tcPr>
          <w:p>
            <w:r>
              <w:rPr>
                <w:b w:val="false"/>
                <w:bCs w:val="false"/>
              </w:rPr>
              <w:t xml:space="preserve">163,86</w:t>
            </w:r>
          </w:p>
        </w:tc>
        <w:tc>
          <w:tcPr>
            <w:tcW w:type="dxa" w:w="2200"/>
          </w:tcPr>
          <w:p>
            <w:r>
              <w:rPr>
                <w:b w:val="false"/>
                <w:bCs w:val="false"/>
              </w:rPr>
              <w:t xml:space="preserve">163,73</w:t>
            </w:r>
          </w:p>
        </w:tc>
      </w:tr>
      <w:tr>
        <w:tc>
          <w:tcPr>
            <w:tcW w:type="dxa" w:w="2600"/>
          </w:tcPr>
          <w:p>
            <w:r>
              <w:rPr>
                <w:b w:val="false"/>
                <w:bCs w:val="false"/>
              </w:rPr>
              <w:t xml:space="preserve">RMSE</w:t>
            </w:r>
          </w:p>
        </w:tc>
        <w:tc>
          <w:tcPr>
            <w:tcW w:type="dxa" w:w="2200"/>
          </w:tcPr>
          <w:p>
            <w:r>
              <w:rPr>
                <w:b w:val="false"/>
                <w:bCs w:val="false"/>
              </w:rPr>
              <w:t xml:space="preserve">458,11</w:t>
            </w:r>
          </w:p>
        </w:tc>
        <w:tc>
          <w:tcPr>
            <w:tcW w:type="dxa" w:w="2360"/>
          </w:tcPr>
          <w:p>
            <w:r>
              <w:rPr>
                <w:b w:val="false"/>
                <w:bCs w:val="false"/>
              </w:rPr>
              <w:t xml:space="preserve">439,34</w:t>
            </w:r>
          </w:p>
        </w:tc>
        <w:tc>
          <w:tcPr>
            <w:tcW w:type="dxa" w:w="2200"/>
          </w:tcPr>
          <w:p>
            <w:r>
              <w:rPr>
                <w:b/>
                <w:bCs/>
              </w:rPr>
              <w:t xml:space="preserve">431,11</w:t>
            </w:r>
          </w:p>
        </w:tc>
      </w:tr>
      <w:tr>
        <w:tc>
          <w:tcPr>
            <w:tcW w:type="dxa" w:w="2600"/>
          </w:tcPr>
          <w:p>
            <w:r>
              <w:rPr>
                <w:b w:val="false"/>
                <w:bCs w:val="false"/>
              </w:rPr>
              <w:t xml:space="preserve">R²</w:t>
            </w:r>
          </w:p>
        </w:tc>
        <w:tc>
          <w:tcPr>
            <w:tcW w:type="dxa" w:w="2200"/>
          </w:tcPr>
          <w:p>
            <w:r>
              <w:rPr>
                <w:b w:val="false"/>
                <w:bCs w:val="false"/>
              </w:rPr>
              <w:t xml:space="preserve">0,877</w:t>
            </w:r>
          </w:p>
        </w:tc>
        <w:tc>
          <w:tcPr>
            <w:tcW w:type="dxa" w:w="2360"/>
          </w:tcPr>
          <w:p>
            <w:r>
              <w:rPr>
                <w:b w:val="false"/>
                <w:bCs w:val="false"/>
              </w:rPr>
              <w:t xml:space="preserve">0,888</w:t>
            </w:r>
          </w:p>
        </w:tc>
        <w:tc>
          <w:tcPr>
            <w:tcW w:type="dxa" w:w="2200"/>
          </w:tcPr>
          <w:p>
            <w:r>
              <w:rPr>
                <w:b/>
                <w:bCs/>
              </w:rPr>
              <w:t xml:space="preserve">0,892</w:t>
            </w:r>
          </w:p>
        </w:tc>
      </w:tr>
      <w:tr>
        <w:tc>
          <w:tcPr>
            <w:tcW w:type="dxa" w:w="2600"/>
          </w:tcPr>
          <w:p>
            <w:r>
              <w:rPr>
                <w:b w:val="false"/>
                <w:bCs w:val="false"/>
              </w:rPr>
              <w:t xml:space="preserve">Error medio en picos (&gt;10.000)</w:t>
            </w:r>
          </w:p>
        </w:tc>
        <w:tc>
          <w:tcPr>
            <w:tcW w:type="dxa" w:w="2200"/>
          </w:tcPr>
          <w:p>
            <w:r>
              <w:rPr>
                <w:b w:val="false"/>
                <w:bCs w:val="false"/>
              </w:rPr>
              <w:t xml:space="preserve">1.996,5</w:t>
            </w:r>
          </w:p>
        </w:tc>
        <w:tc>
          <w:tcPr>
            <w:tcW w:type="dxa" w:w="2360"/>
          </w:tcPr>
          <w:p>
            <w:r>
              <w:rPr>
                <w:b w:val="false"/>
                <w:bCs w:val="false"/>
              </w:rPr>
              <w:t xml:space="preserve">4.998,2</w:t>
            </w:r>
          </w:p>
        </w:tc>
        <w:tc>
          <w:tcPr>
            <w:tcW w:type="dxa" w:w="2200"/>
          </w:tcPr>
          <w:p>
            <w:r>
              <w:rPr>
                <w:b w:val="false"/>
                <w:bCs w:val="false"/>
              </w:rPr>
              <w:t xml:space="preserve">4.511,2</w:t>
            </w:r>
          </w:p>
        </w:tc>
      </w:tr>
    </w:tbl>
    <w:p>
      <w:pPr>
        <w:spacing w:after="200"/>
      </w:pPr>
    </w:p>
    <w:p>
      <w:pPr>
        <w:spacing w:after="160"/>
      </w:pPr>
      <w:r>
        <w:t xml:space="preserve">*La Iteración 6 se evaluó sobre 65.170 filas de prueba; el baseline y la Iteración 7 sobre 65.802, porque al usar el ratio del mes anterior ya no se descartan los meses con producción cero. </w:t>
      </w:r>
      <w:r>
        <w:rPr>
          <w:b/>
          <w:bCs/>
        </w:rPr>
        <w:t xml:space="preserve">Resultado:</w:t>
      </w:r>
      <w:r>
        <w:t xml:space="preserve"> corregir la fuga no empeora el modelo (mejora levemente), y el modelo supera al baseline por un margen modesto. En los picos altos, repetir el mes anterior sigue siendo mejor que el modelo.</w:t>
      </w:r>
    </w:p>
    <w:p>
      <w:pPr>
        <w:pStyle w:val="Heading1"/>
        <w:spacing w:after="150" w:before="300"/>
      </w:pPr>
      <w:r>
        <w:t xml:space="preserve">12. Iteración 8 — Predecir la Variación en lugar del Nivel</w:t>
      </w:r>
    </w:p>
    <w:p>
      <w:pPr>
        <w:spacing w:after="160"/>
      </w:pPr>
      <w:r>
        <w:t xml:space="preserve">SHAP mostró que el modelo se apoya casi por completo en prod_pet_mes_anterior y que, en los picos, su aporte se aplana. Los modelos de árboles no pueden predecir por encima de lo que vieron al entrenar: el máximo de producción en entrenamiento (hasta 2023) fue 15.943, con solo 36 filas sobre 10.000 entre 169.097, mientras que en el período de prueba hay picos de hasta 26.593.</w:t>
      </w:r>
    </w:p>
    <w:p>
      <w:pPr>
        <w:spacing w:after="160"/>
      </w:pPr>
      <w:r>
        <w:t xml:space="preserve">Se cambió el objetivo: el modelo predice </w:t>
      </w:r>
      <w:r>
        <w:rPr>
          <w:b/>
          <w:bCs/>
        </w:rPr>
        <w:t xml:space="preserve">cuánto cambia la producción respecto del mes anterior</w:t>
      </w:r>
      <w:r>
        <w:t xml:space="preserve"> (prod_pet − prod_pet_mes_anterior), y la predicción final se obtiene sumando ese cambio al mes anterior y recortando en 0 (3.437 de las 65.802 predicciones, el 5,2%, eran negativas antes del recorte).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D9E2F3" w:val="clear"/>
          </w:tcPr>
          <w:p>
            <w:r>
              <w:rPr>
                <w:b/>
                <w:bCs/>
              </w:rPr>
              <w:t xml:space="preserve">Métrica</w:t>
            </w:r>
          </w:p>
        </w:tc>
        <w:tc>
          <w:tcPr>
            <w:tcW w:type="dxa" w:w="2200"/>
            <w:shd w:fill="D9E2F3" w:val="clear"/>
          </w:tcPr>
          <w:p>
            <w:r>
              <w:rPr>
                <w:b/>
                <w:bCs/>
              </w:rPr>
              <w:t xml:space="preserve">Baseline (mes anterior)</w:t>
            </w:r>
          </w:p>
        </w:tc>
        <w:tc>
          <w:tcPr>
            <w:tcW w:type="dxa" w:w="2200"/>
            <w:shd w:fill="D9E2F3" w:val="clear"/>
          </w:tcPr>
          <w:p>
            <w:r>
              <w:rPr>
                <w:b/>
                <w:bCs/>
              </w:rPr>
              <w:t xml:space="preserve">LightGBM Iteración 7</w:t>
            </w:r>
          </w:p>
        </w:tc>
        <w:tc>
          <w:tcPr>
            <w:tcW w:type="dxa" w:w="2360"/>
            <w:shd w:fill="D9E2F3" w:val="clear"/>
          </w:tcPr>
          <w:p>
            <w:r>
              <w:rPr>
                <w:b/>
                <w:bCs/>
              </w:rPr>
              <w:t xml:space="preserve">LightGBM Iteración 8 (variación)</w:t>
            </w:r>
          </w:p>
        </w:tc>
      </w:tr>
      <w:tr>
        <w:tc>
          <w:tcPr>
            <w:tcW w:type="dxa" w:w="2600"/>
          </w:tcPr>
          <w:p>
            <w:r>
              <w:rPr>
                <w:b w:val="false"/>
                <w:bCs w:val="false"/>
              </w:rPr>
              <w:t xml:space="preserve">MAE</w:t>
            </w:r>
          </w:p>
        </w:tc>
        <w:tc>
          <w:tcPr>
            <w:tcW w:type="dxa" w:w="2200"/>
          </w:tcPr>
          <w:p>
            <w:r>
              <w:rPr>
                <w:b w:val="false"/>
                <w:bCs w:val="false"/>
              </w:rPr>
              <w:t xml:space="preserve">171,77</w:t>
            </w:r>
          </w:p>
        </w:tc>
        <w:tc>
          <w:tcPr>
            <w:tcW w:type="dxa" w:w="2200"/>
          </w:tcPr>
          <w:p>
            <w:r>
              <w:rPr>
                <w:b w:val="false"/>
                <w:bCs w:val="false"/>
              </w:rPr>
              <w:t xml:space="preserve">163,73</w:t>
            </w:r>
          </w:p>
        </w:tc>
        <w:tc>
          <w:tcPr>
            <w:tcW w:type="dxa" w:w="2360"/>
          </w:tcPr>
          <w:p>
            <w:r>
              <w:rPr>
                <w:b/>
                <w:bCs/>
              </w:rPr>
              <w:t xml:space="preserve">160,02</w:t>
            </w:r>
          </w:p>
        </w:tc>
      </w:tr>
      <w:tr>
        <w:tc>
          <w:tcPr>
            <w:tcW w:type="dxa" w:w="2600"/>
          </w:tcPr>
          <w:p>
            <w:r>
              <w:rPr>
                <w:b w:val="false"/>
                <w:bCs w:val="false"/>
              </w:rPr>
              <w:t xml:space="preserve">RMSE</w:t>
            </w:r>
          </w:p>
        </w:tc>
        <w:tc>
          <w:tcPr>
            <w:tcW w:type="dxa" w:w="2200"/>
          </w:tcPr>
          <w:p>
            <w:r>
              <w:rPr>
                <w:b w:val="false"/>
                <w:bCs w:val="false"/>
              </w:rPr>
              <w:t xml:space="preserve">458,11</w:t>
            </w:r>
          </w:p>
        </w:tc>
        <w:tc>
          <w:tcPr>
            <w:tcW w:type="dxa" w:w="2200"/>
          </w:tcPr>
          <w:p>
            <w:r>
              <w:rPr>
                <w:b w:val="false"/>
                <w:bCs w:val="false"/>
              </w:rPr>
              <w:t xml:space="preserve">431,11</w:t>
            </w:r>
          </w:p>
        </w:tc>
        <w:tc>
          <w:tcPr>
            <w:tcW w:type="dxa" w:w="2360"/>
          </w:tcPr>
          <w:p>
            <w:r>
              <w:rPr>
                <w:b/>
                <w:bCs/>
              </w:rPr>
              <w:t xml:space="preserve">411,24</w:t>
            </w:r>
          </w:p>
        </w:tc>
      </w:tr>
      <w:tr>
        <w:tc>
          <w:tcPr>
            <w:tcW w:type="dxa" w:w="2600"/>
          </w:tcPr>
          <w:p>
            <w:r>
              <w:rPr>
                <w:b w:val="false"/>
                <w:bCs w:val="false"/>
              </w:rPr>
              <w:t xml:space="preserve">R²</w:t>
            </w:r>
          </w:p>
        </w:tc>
        <w:tc>
          <w:tcPr>
            <w:tcW w:type="dxa" w:w="2200"/>
          </w:tcPr>
          <w:p>
            <w:r>
              <w:rPr>
                <w:b w:val="false"/>
                <w:bCs w:val="false"/>
              </w:rPr>
              <w:t xml:space="preserve">0,877</w:t>
            </w:r>
          </w:p>
        </w:tc>
        <w:tc>
          <w:tcPr>
            <w:tcW w:type="dxa" w:w="2200"/>
          </w:tcPr>
          <w:p>
            <w:r>
              <w:rPr>
                <w:b w:val="false"/>
                <w:bCs w:val="false"/>
              </w:rPr>
              <w:t xml:space="preserve">0,892</w:t>
            </w:r>
          </w:p>
        </w:tc>
        <w:tc>
          <w:tcPr>
            <w:tcW w:type="dxa" w:w="2360"/>
          </w:tcPr>
          <w:p>
            <w:r>
              <w:rPr>
                <w:b/>
                <w:bCs/>
              </w:rPr>
              <w:t xml:space="preserve">0,901</w:t>
            </w:r>
          </w:p>
        </w:tc>
      </w:tr>
      <w:tr>
        <w:tc>
          <w:tcPr>
            <w:tcW w:type="dxa" w:w="2600"/>
          </w:tcPr>
          <w:p>
            <w:r>
              <w:rPr>
                <w:b w:val="false"/>
                <w:bCs w:val="false"/>
              </w:rPr>
              <w:t xml:space="preserve">Error medio en picos (&gt;10.000)</w:t>
            </w:r>
          </w:p>
        </w:tc>
        <w:tc>
          <w:tcPr>
            <w:tcW w:type="dxa" w:w="2200"/>
          </w:tcPr>
          <w:p>
            <w:r>
              <w:rPr>
                <w:b w:val="false"/>
                <w:bCs w:val="false"/>
              </w:rPr>
              <w:t xml:space="preserve">1.996,5</w:t>
            </w:r>
          </w:p>
        </w:tc>
        <w:tc>
          <w:tcPr>
            <w:tcW w:type="dxa" w:w="2200"/>
          </w:tcPr>
          <w:p>
            <w:r>
              <w:rPr>
                <w:b w:val="false"/>
                <w:bCs w:val="false"/>
              </w:rPr>
              <w:t xml:space="preserve">4.511,2</w:t>
            </w:r>
          </w:p>
        </w:tc>
        <w:tc>
          <w:tcPr>
            <w:tcW w:type="dxa" w:w="2360"/>
          </w:tcPr>
          <w:p>
            <w:r>
              <w:rPr>
                <w:b w:val="false"/>
                <w:bCs w:val="false"/>
              </w:rPr>
              <w:t xml:space="preserve">3.123,3</w:t>
            </w:r>
          </w:p>
        </w:tc>
      </w:tr>
    </w:tbl>
    <w:p>
      <w:pPr>
        <w:spacing w:after="200"/>
      </w:pPr>
    </w:p>
    <w:p>
      <w:pPr>
        <w:spacing w:after="160"/>
      </w:pPr>
      <w:r>
        <w:rPr>
          <w:b/>
          <w:bCs/>
        </w:rPr>
        <w:t xml:space="preserve">Resultado:</w:t>
      </w:r>
      <w:r>
        <w:t xml:space="preserve"> mejora las cuatro métricas respecto de la Iteración 7 y reduce el error en picos, aunque sigue siendo peor que el baseline en los meses de producción extrema.</w:t>
      </w:r>
    </w:p>
    <w:p>
      <w:pPr>
        <w:pStyle w:val="Heading1"/>
        <w:spacing w:after="150" w:before="300"/>
      </w:pPr>
      <w:r>
        <w:t xml:space="preserve">13. Modelo Final Vigente y Limitación Revisada</w:t>
      </w:r>
    </w:p>
    <w:p>
      <w:pPr>
        <w:spacing w:after="160"/>
      </w:pPr>
      <w:r>
        <w:rPr>
          <w:b/>
          <w:bCs/>
        </w:rPr>
        <w:t xml:space="preserve">Modelo final:</w:t>
      </w:r>
      <w:r>
        <w:t xml:space="preserve"> LightGBM (Iteración 8), con las 8 variables antiguedad_meses, prod_pet_mes_anterior, prod_gas_mes_anterior, declinacion_pet_anterior, ratio_gas_petroleo_anterior, profundidad, formacion_cod y cuenca_cod. Predice la variación respecto del mes anterior: la producción se obtiene como prod_pet_mes_anterior + variación predicha, con piso en 0. Métricas: MAE 160,02 — RMSE 411,24 — R² 0,901.</w:t>
      </w:r>
    </w:p>
    <w:p>
      <w:pPr>
        <w:pStyle w:val="ListParagraph"/>
        <w:numPr>
          <w:ilvl w:val="0"/>
          <w:numId w:val="1"/>
        </w:numPr>
        <w:spacing w:after="80"/>
      </w:pPr>
      <w:r>
        <w:t xml:space="preserve">models/modelo_produccion_pet.joblib: modelo principal vigente (Iteración 8). Reemplaza al guardado en la Pre-Entrega 3.</w:t>
      </w:r>
    </w:p>
    <w:p>
      <w:pPr>
        <w:pStyle w:val="ListParagraph"/>
        <w:numPr>
          <w:ilvl w:val="0"/>
          <w:numId w:val="1"/>
        </w:numPr>
        <w:spacing w:after="80"/>
      </w:pPr>
      <w:r>
        <w:t xml:space="preserve">models/columnas_features.joblib: lista de variables que espera el modelo (para la API).</w:t>
      </w:r>
    </w:p>
    <w:p>
      <w:pPr>
        <w:pStyle w:val="ListParagraph"/>
        <w:numPr>
          <w:ilvl w:val="0"/>
          <w:numId w:val="1"/>
        </w:numPr>
        <w:spacing w:after="80"/>
      </w:pPr>
      <w:r>
        <w:t xml:space="preserve">models/modelo_produccion_pet_lightgbm_v7.joblib y models/modelo_produccion_pet_lightgbm_v8.joblib: versiones de las iteraciones 7 y 8.</w:t>
      </w:r>
    </w:p>
    <w:p>
      <w:pPr>
        <w:pStyle w:val="ListParagraph"/>
        <w:numPr>
          <w:ilvl w:val="0"/>
          <w:numId w:val="1"/>
        </w:numPr>
        <w:spacing w:after="80"/>
      </w:pPr>
      <w:r>
        <w:t xml:space="preserve">Los modelos XGBoost y LightGBM de las secciones 8 y 9 se conservan solo por trazabilidad: usan la variable con fuga.</w:t>
      </w:r>
    </w:p>
    <w:p>
      <w:pPr>
        <w:spacing w:after="200"/>
      </w:pPr>
    </w:p>
    <w:p>
      <w:pPr>
        <w:spacing w:after="160"/>
      </w:pPr>
      <w:r>
        <w:rPr>
          <w:b/>
          <w:bCs/>
        </w:rPr>
        <w:t xml:space="preserve">Limitación revisada:</w:t>
      </w:r>
      <w:r>
        <w:t xml:space="preserve"> en la sección 10 se atribuía la subestimación de picos a la ausencia de una variable de intervención. La evidencia posterior agrega una causa verificable: el modelo casi no vio producciones altas al entrenar y los árboles no extrapolan (máximo de 15.943 en entrenamiento contra 26.593 en prueba). Ambas explicaciones pueden coexistir; la hipótesis de reestimulación no se confirma ni se descarta con los datos disponibles. En los picos extremos, repetir el mes anterior sigue siendo mejor que el modelo, y se documenta como limitación aceptada.</w:t>
      </w:r>
    </w:p>
    <w:p>
      <w:pPr>
        <w:pStyle w:val="Heading1"/>
        <w:spacing w:after="150" w:before="300"/>
      </w:pPr>
      <w:r>
        <w:t xml:space="preserve">14. Próximos Pasos</w:t>
      </w:r>
    </w:p>
    <w:p>
      <w:pPr>
        <w:pStyle w:val="ListParagraph"/>
        <w:numPr>
          <w:ilvl w:val="0"/>
          <w:numId w:val="1"/>
        </w:numPr>
        <w:spacing w:after="80"/>
      </w:pPr>
      <w:r>
        <w:t xml:space="preserve">Optimización de hiperparámetros (Optuna) sobre el modelo final, con validación temporal.</w:t>
      </w:r>
    </w:p>
    <w:p>
      <w:pPr>
        <w:pStyle w:val="ListParagraph"/>
        <w:numPr>
          <w:ilvl w:val="0"/>
          <w:numId w:val="1"/>
        </w:numPr>
        <w:spacing w:after="80"/>
      </w:pPr>
      <w:r>
        <w:t xml:space="preserve">Explicabilidad (SHAP) sobre el modelo final: el análisis actual se hizo sobre el modelo de la Iteración 6 y debe repetirse sobre el vigente.</w:t>
      </w:r>
    </w:p>
    <w:p>
      <w:pPr>
        <w:pStyle w:val="ListParagraph"/>
        <w:numPr>
          <w:ilvl w:val="0"/>
          <w:numId w:val="1"/>
        </w:numPr>
        <w:spacing w:after="80"/>
      </w:pPr>
      <w:r>
        <w:t xml:space="preserve">Entrega Final: src/train.py, src/predict.py (que aplique prod_pet_mes_anterior + variación, con piso en 0), API en FastAPI, Dockerfile y documentación completa en README.md.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2026-09-14T21:02:50.165Z</dcterms:created>
  <dcterms:modified xsi:type="dcterms:W3CDTF">2026-09-14T21:02:50.176Z</dcterms:modified>
</cp:coreProperties>
</file>

<file path=docProps/custom.xml><?xml version="1.0" encoding="utf-8"?>
<Properties xmlns="http://schemas.openxmlformats.org/officeDocument/2006/custom-properties" xmlns:vt="http://schemas.openxmlformats.org/officeDocument/2006/docPropsVTypes"/>
</file>