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Pre-Entrega 4 — Modelado No Supervisado (Clustering y SVD)</w:t>
      </w:r>
    </w:p>
    <w:p>
      <w:r>
        <w:rPr>
          <w:i/>
          <w:sz w:val="24"/>
        </w:rPr>
        <w:t>Proyecto Final Integrador — Data Science 2026</w:t>
      </w: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E8EEF6"/>
          </w:tcPr>
          <w:p>
            <w:r/>
            <w:r>
              <w:rPr>
                <w:b/>
                <w:sz w:val="19"/>
              </w:rPr>
              <w:t>Alumnos</w:t>
            </w:r>
          </w:p>
        </w:tc>
        <w:tc>
          <w:tcPr>
            <w:tcW w:type="dxa" w:w="6860"/>
          </w:tcPr>
          <w:p>
            <w:r/>
            <w:r>
              <w:rPr>
                <w:sz w:val="19"/>
              </w:rPr>
              <w:t>Cristian Alejandro Aguilera, Abigail Roxana Vicentelo, Ian Lionel Tapias Díaz</w:t>
            </w:r>
          </w:p>
        </w:tc>
      </w:tr>
      <w:tr>
        <w:tc>
          <w:tcPr>
            <w:tcW w:type="dxa" w:w="2551"/>
            <w:shd w:val="clear" w:color="auto" w:fill="E8EEF6"/>
          </w:tcPr>
          <w:p>
            <w:r/>
            <w:r>
              <w:rPr>
                <w:b/>
                <w:sz w:val="19"/>
              </w:rPr>
              <w:t>Programa</w:t>
            </w:r>
          </w:p>
        </w:tc>
        <w:tc>
          <w:tcPr>
            <w:tcW w:type="dxa" w:w="6860"/>
          </w:tcPr>
          <w:p>
            <w:r/>
            <w:r>
              <w:rPr>
                <w:sz w:val="19"/>
              </w:rPr>
              <w:t>Data Science — Energía Digital 2026 (Fundación YPF - Jump)</w:t>
            </w:r>
          </w:p>
        </w:tc>
      </w:tr>
      <w:tr>
        <w:tc>
          <w:tcPr>
            <w:tcW w:type="dxa" w:w="2551"/>
            <w:shd w:val="clear" w:color="auto" w:fill="E8EEF6"/>
          </w:tcPr>
          <w:p>
            <w:r/>
            <w:r>
              <w:rPr>
                <w:b/>
                <w:sz w:val="19"/>
              </w:rPr>
              <w:t>Repositorio GitHub</w:t>
            </w:r>
          </w:p>
        </w:tc>
        <w:tc>
          <w:tcPr>
            <w:tcW w:type="dxa" w:w="6860"/>
          </w:tcPr>
          <w:p>
            <w:r/>
            <w:r>
              <w:rPr>
                <w:sz w:val="19"/>
              </w:rPr>
              <w:t>https://github.com/cristian-aguilera-ing/proyecto-ds-ypf.git</w:t>
            </w:r>
          </w:p>
        </w:tc>
      </w:tr>
      <w:tr>
        <w:tc>
          <w:tcPr>
            <w:tcW w:type="dxa" w:w="2551"/>
            <w:shd w:val="clear" w:color="auto" w:fill="E8EEF6"/>
          </w:tcPr>
          <w:p>
            <w:r/>
            <w:r>
              <w:rPr>
                <w:b/>
                <w:sz w:val="19"/>
              </w:rPr>
              <w:t>Versión</w:t>
            </w:r>
          </w:p>
        </w:tc>
        <w:tc>
          <w:tcPr>
            <w:tcW w:type="dxa" w:w="6860"/>
          </w:tcPr>
          <w:p>
            <w:r/>
            <w:r>
              <w:rPr>
                <w:sz w:val="19"/>
              </w:rPr>
              <w:t>Versión 2 — Cuenca Neuquina, petróleo y gas (actualizado al 23 de octubre de 2026)</w:t>
            </w:r>
          </w:p>
        </w:tc>
      </w:tr>
    </w:tbl>
    <w:p>
      <w:pPr>
        <w:spacing w:after="40"/>
      </w:pPr>
    </w:p>
    <w:p>
      <w:pPr>
        <w:pStyle w:val="Heading1"/>
      </w:pPr>
      <w:r>
        <w:t>1. Objetivo y enfoque (notebooks/04_clustering_svd.ipynb, src/ypf_ds/models/cluster.py)</w:t>
      </w:r>
    </w:p>
    <w:p>
      <w:r>
        <w:t>Agrupar los pozos según la forma de su curva de producción, para describir “tipos de pozo” y usarlos como información técnica en la API: cada pozo existente, y cada curva predicha de un pozo nuevo, se asigna a un grupo.</w:t>
      </w:r>
    </w:p>
    <w:p>
      <w:pPr>
        <w:pStyle w:val="Heading1"/>
      </w:pPr>
      <w:r>
        <w:t>2. Representación de cada pozo</w:t>
      </w:r>
    </w:p>
    <w:p>
      <w:pPr>
        <w:pStyle w:val="ListBullet"/>
      </w:pPr>
      <w:r>
        <w:rPr>
          <w:b/>
        </w:rPr>
        <w:t xml:space="preserve">Forma de la curva: </w:t>
      </w:r>
      <w:r>
        <w:t>los primeros 12 meses del fluido principal divididos por el pico (12 valores entre 0 y 1). Normalizar por el pico separa la forma del tamaño.</w:t>
      </w:r>
    </w:p>
    <w:p>
      <w:pPr>
        <w:pStyle w:val="ListBullet"/>
      </w:pPr>
      <w:r>
        <w:rPr>
          <w:b/>
        </w:rPr>
        <w:t xml:space="preserve">Tamaño: </w:t>
      </w:r>
      <w:r>
        <w:t>log1p del pico de petróleo y del pico de gas.</w:t>
      </w:r>
    </w:p>
    <w:p>
      <w:pPr>
        <w:pStyle w:val="ListBullet"/>
      </w:pPr>
      <w:r>
        <w:rPr>
          <w:b/>
        </w:rPr>
        <w:t xml:space="preserve">Fluido: </w:t>
      </w:r>
      <w:r>
        <w:t>log1p del GOR de los primeros 12 meses.</w:t>
      </w:r>
    </w:p>
    <w:p>
      <w:pPr>
        <w:pStyle w:val="ListBullet"/>
      </w:pPr>
      <w:r>
        <w:rPr>
          <w:b/>
        </w:rPr>
        <w:t xml:space="preserve">Población: </w:t>
      </w:r>
      <w:r>
        <w:t>4.144 pozos con al menos 12 meses de historia y con inicio observado (se excluyen los censurados de 2006).</w:t>
      </w:r>
    </w:p>
    <w:p>
      <w:r>
        <w:t>En la versión 1 se resumía cada pozo con promedios de declinación y GOR, que tenían colas extremas (cocientes con denominadores cercanos a 0) y obligaban a recortes manuales. Representar la curva normalizada evita ese problema de raíz.</w:t>
      </w:r>
    </w:p>
    <w:p>
      <w:pPr>
        <w:pStyle w:val="Heading1"/>
      </w:pPr>
      <w:r>
        <w:t>3. Reducción de dimensionalidad con SVD</w:t>
      </w:r>
    </w:p>
    <w:p>
      <w:r>
        <w:t>Las 15 variables se estandarizan (StandardScaler) y se comprimen con TruncatedSVD: 6 componentes explican el 85,5 % de la varianza.</w:t>
      </w:r>
    </w:p>
    <w:p>
      <w:pPr>
        <w:jc w:val="center"/>
      </w:pPr>
      <w:r>
        <w:drawing>
          <wp:inline xmlns:a="http://schemas.openxmlformats.org/drawingml/2006/main" xmlns:pic="http://schemas.openxmlformats.org/drawingml/2006/picture">
            <wp:extent cx="3960000" cy="1620000"/>
            <wp:docPr id="1" name="Picture 1"/>
            <wp:cNvGraphicFramePr>
              <a:graphicFrameLocks noChangeAspect="1"/>
            </wp:cNvGraphicFramePr>
            <a:graphic>
              <a:graphicData uri="http://schemas.openxmlformats.org/drawingml/2006/picture">
                <pic:pic>
                  <pic:nvPicPr>
                    <pic:cNvPr id="0" name="04_svd.png"/>
                    <pic:cNvPicPr/>
                  </pic:nvPicPr>
                  <pic:blipFill>
                    <a:blip r:embed="rId9"/>
                    <a:stretch>
                      <a:fillRect/>
                    </a:stretch>
                  </pic:blipFill>
                  <pic:spPr>
                    <a:xfrm>
                      <a:off x="0" y="0"/>
                      <a:ext cx="3960000" cy="1620000"/>
                    </a:xfrm>
                    <a:prstGeom prst="rect"/>
                  </pic:spPr>
                </pic:pic>
              </a:graphicData>
            </a:graphic>
          </wp:inline>
        </w:drawing>
      </w:r>
    </w:p>
    <w:p>
      <w:pPr>
        <w:jc w:val="center"/>
      </w:pPr>
      <w:r>
        <w:rPr>
          <w:i/>
          <w:sz w:val="18"/>
        </w:rPr>
        <w:t>Figura 1. Varianza explicada acumulada por componente SVD.</w:t>
      </w:r>
    </w:p>
    <w:p>
      <w:pPr>
        <w:pStyle w:val="Heading1"/>
      </w:pPr>
      <w:r>
        <w:t>4. Elección de k (K-Means)</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E8EEF6"/>
          </w:tcPr>
          <w:p>
            <w:r/>
            <w:r>
              <w:rPr>
                <w:b/>
                <w:sz w:val="19"/>
              </w:rPr>
              <w:t>k</w:t>
            </w:r>
          </w:p>
        </w:tc>
        <w:tc>
          <w:tcPr>
            <w:tcW w:type="dxa" w:w="2268"/>
            <w:shd w:val="clear" w:color="auto" w:fill="E8EEF6"/>
          </w:tcPr>
          <w:p>
            <w:r/>
            <w:r>
              <w:rPr>
                <w:b/>
                <w:sz w:val="19"/>
              </w:rPr>
              <w:t>Silhouette</w:t>
            </w:r>
          </w:p>
        </w:tc>
        <w:tc>
          <w:tcPr>
            <w:tcW w:type="dxa" w:w="2268"/>
            <w:shd w:val="clear" w:color="auto" w:fill="E8EEF6"/>
          </w:tcPr>
          <w:p>
            <w:r/>
            <w:r>
              <w:rPr>
                <w:b/>
                <w:sz w:val="19"/>
              </w:rPr>
              <w:t>Davies-Bouldin</w:t>
            </w:r>
          </w:p>
        </w:tc>
      </w:tr>
      <w:tr>
        <w:tc>
          <w:tcPr>
            <w:tcW w:type="dxa" w:w="1701"/>
          </w:tcPr>
          <w:p>
            <w:r/>
            <w:r>
              <w:rPr>
                <w:sz w:val="19"/>
              </w:rPr>
              <w:t>3</w:t>
            </w:r>
          </w:p>
        </w:tc>
        <w:tc>
          <w:tcPr>
            <w:tcW w:type="dxa" w:w="2268"/>
          </w:tcPr>
          <w:p>
            <w:r/>
            <w:r>
              <w:rPr>
                <w:sz w:val="19"/>
              </w:rPr>
              <w:t>0,214</w:t>
            </w:r>
          </w:p>
        </w:tc>
        <w:tc>
          <w:tcPr>
            <w:tcW w:type="dxa" w:w="2268"/>
          </w:tcPr>
          <w:p>
            <w:r/>
            <w:r>
              <w:rPr>
                <w:sz w:val="19"/>
              </w:rPr>
              <w:t>1,528</w:t>
            </w:r>
          </w:p>
        </w:tc>
      </w:tr>
      <w:tr>
        <w:tc>
          <w:tcPr>
            <w:tcW w:type="dxa" w:w="1701"/>
          </w:tcPr>
          <w:p>
            <w:r/>
            <w:r>
              <w:rPr>
                <w:sz w:val="19"/>
              </w:rPr>
              <w:t>4</w:t>
            </w:r>
          </w:p>
        </w:tc>
        <w:tc>
          <w:tcPr>
            <w:tcW w:type="dxa" w:w="2268"/>
          </w:tcPr>
          <w:p>
            <w:r/>
            <w:r>
              <w:rPr>
                <w:sz w:val="19"/>
              </w:rPr>
              <w:t>0,221</w:t>
            </w:r>
          </w:p>
        </w:tc>
        <w:tc>
          <w:tcPr>
            <w:tcW w:type="dxa" w:w="2268"/>
          </w:tcPr>
          <w:p>
            <w:r/>
            <w:r>
              <w:rPr>
                <w:sz w:val="19"/>
              </w:rPr>
              <w:t>1,426</w:t>
            </w:r>
          </w:p>
        </w:tc>
      </w:tr>
      <w:tr>
        <w:tc>
          <w:tcPr>
            <w:tcW w:type="dxa" w:w="1701"/>
          </w:tcPr>
          <w:p>
            <w:r/>
            <w:r>
              <w:rPr>
                <w:sz w:val="19"/>
              </w:rPr>
              <w:t>5</w:t>
            </w:r>
          </w:p>
        </w:tc>
        <w:tc>
          <w:tcPr>
            <w:tcW w:type="dxa" w:w="2268"/>
          </w:tcPr>
          <w:p>
            <w:r/>
            <w:r>
              <w:rPr>
                <w:sz w:val="19"/>
              </w:rPr>
              <w:t>0,198</w:t>
            </w:r>
          </w:p>
        </w:tc>
        <w:tc>
          <w:tcPr>
            <w:tcW w:type="dxa" w:w="2268"/>
          </w:tcPr>
          <w:p>
            <w:r/>
            <w:r>
              <w:rPr>
                <w:sz w:val="19"/>
              </w:rPr>
              <w:t>1,471</w:t>
            </w:r>
          </w:p>
        </w:tc>
      </w:tr>
      <w:tr>
        <w:tc>
          <w:tcPr>
            <w:tcW w:type="dxa" w:w="1701"/>
          </w:tcPr>
          <w:p>
            <w:r/>
            <w:r>
              <w:rPr>
                <w:sz w:val="19"/>
              </w:rPr>
              <w:t>6</w:t>
            </w:r>
          </w:p>
        </w:tc>
        <w:tc>
          <w:tcPr>
            <w:tcW w:type="dxa" w:w="2268"/>
          </w:tcPr>
          <w:p>
            <w:r/>
            <w:r>
              <w:rPr>
                <w:sz w:val="19"/>
              </w:rPr>
              <w:t>0,199</w:t>
            </w:r>
          </w:p>
        </w:tc>
        <w:tc>
          <w:tcPr>
            <w:tcW w:type="dxa" w:w="2268"/>
          </w:tcPr>
          <w:p>
            <w:r/>
            <w:r>
              <w:rPr>
                <w:sz w:val="19"/>
              </w:rPr>
              <w:t>1,395</w:t>
            </w:r>
          </w:p>
        </w:tc>
      </w:tr>
      <w:tr>
        <w:tc>
          <w:tcPr>
            <w:tcW w:type="dxa" w:w="1701"/>
          </w:tcPr>
          <w:p>
            <w:r/>
            <w:r>
              <w:rPr>
                <w:sz w:val="19"/>
              </w:rPr>
              <w:t>7</w:t>
            </w:r>
          </w:p>
        </w:tc>
        <w:tc>
          <w:tcPr>
            <w:tcW w:type="dxa" w:w="2268"/>
          </w:tcPr>
          <w:p>
            <w:r/>
            <w:r>
              <w:rPr>
                <w:sz w:val="19"/>
              </w:rPr>
              <w:t>0,201</w:t>
            </w:r>
          </w:p>
        </w:tc>
        <w:tc>
          <w:tcPr>
            <w:tcW w:type="dxa" w:w="2268"/>
          </w:tcPr>
          <w:p>
            <w:r/>
            <w:r>
              <w:rPr>
                <w:sz w:val="19"/>
              </w:rPr>
              <w:t>1,366</w:t>
            </w:r>
          </w:p>
        </w:tc>
      </w:tr>
      <w:tr>
        <w:tc>
          <w:tcPr>
            <w:tcW w:type="dxa" w:w="1701"/>
          </w:tcPr>
          <w:p>
            <w:r/>
            <w:r>
              <w:rPr>
                <w:sz w:val="19"/>
              </w:rPr>
              <w:t>8</w:t>
            </w:r>
          </w:p>
        </w:tc>
        <w:tc>
          <w:tcPr>
            <w:tcW w:type="dxa" w:w="2268"/>
          </w:tcPr>
          <w:p>
            <w:r/>
            <w:r>
              <w:rPr>
                <w:sz w:val="19"/>
              </w:rPr>
              <w:t>0,187</w:t>
            </w:r>
          </w:p>
        </w:tc>
        <w:tc>
          <w:tcPr>
            <w:tcW w:type="dxa" w:w="2268"/>
          </w:tcPr>
          <w:p>
            <w:r/>
            <w:r>
              <w:rPr>
                <w:sz w:val="19"/>
              </w:rPr>
              <w:t>1,387</w:t>
            </w:r>
          </w:p>
        </w:tc>
      </w:tr>
    </w:tbl>
    <w:p>
      <w:pPr>
        <w:spacing w:after="40"/>
      </w:pPr>
    </w:p>
    <w:p>
      <w:r>
        <w:t>Se eligió k = 4, el mayor silhouette entre 3 y 8 y uno de los menores Davies-Bouldin. Un silhouette de ≈ 0,22 indica una estructura débil: las curvas forman un continuo que K-Means corta en tramos interpretables, más que grupos aislados.</w:t>
      </w:r>
    </w:p>
    <w:p>
      <w:pPr>
        <w:jc w:val="center"/>
      </w:pPr>
      <w:r>
        <w:drawing>
          <wp:inline xmlns:a="http://schemas.openxmlformats.org/drawingml/2006/main" xmlns:pic="http://schemas.openxmlformats.org/drawingml/2006/picture">
            <wp:extent cx="5580000" cy="1395000"/>
            <wp:docPr id="2" name="Picture 2"/>
            <wp:cNvGraphicFramePr>
              <a:graphicFrameLocks noChangeAspect="1"/>
            </wp:cNvGraphicFramePr>
            <a:graphic>
              <a:graphicData uri="http://schemas.openxmlformats.org/drawingml/2006/picture">
                <pic:pic>
                  <pic:nvPicPr>
                    <pic:cNvPr id="0" name="04_codo_silhouette.png"/>
                    <pic:cNvPicPr/>
                  </pic:nvPicPr>
                  <pic:blipFill>
                    <a:blip r:embed="rId10"/>
                    <a:stretch>
                      <a:fillRect/>
                    </a:stretch>
                  </pic:blipFill>
                  <pic:spPr>
                    <a:xfrm>
                      <a:off x="0" y="0"/>
                      <a:ext cx="5580000" cy="1395000"/>
                    </a:xfrm>
                    <a:prstGeom prst="rect"/>
                  </pic:spPr>
                </pic:pic>
              </a:graphicData>
            </a:graphic>
          </wp:inline>
        </w:drawing>
      </w:r>
    </w:p>
    <w:p>
      <w:pPr>
        <w:jc w:val="center"/>
      </w:pPr>
      <w:r>
        <w:rPr>
          <w:i/>
          <w:sz w:val="18"/>
        </w:rPr>
        <w:t>Figura 2. Inercia (codo), silhouette y Davies-Bouldin según k.</w:t>
      </w:r>
    </w:p>
    <w:p>
      <w:pPr>
        <w:pStyle w:val="Heading1"/>
      </w:pPr>
      <w:r>
        <w:t>5. Comparación con DBSCAN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17"/>
            <w:shd w:val="clear" w:color="auto" w:fill="E8EEF6"/>
          </w:tcPr>
          <w:p>
            <w:r/>
            <w:r>
              <w:rPr>
                <w:b/>
                <w:sz w:val="19"/>
              </w:rPr>
              <w:t>eps</w:t>
            </w:r>
          </w:p>
        </w:tc>
        <w:tc>
          <w:tcPr>
            <w:tcW w:type="dxa" w:w="1701"/>
            <w:shd w:val="clear" w:color="auto" w:fill="E8EEF6"/>
          </w:tcPr>
          <w:p>
            <w:r/>
            <w:r>
              <w:rPr>
                <w:b/>
                <w:sz w:val="19"/>
              </w:rPr>
              <w:t>Clusters</w:t>
            </w:r>
          </w:p>
        </w:tc>
        <w:tc>
          <w:tcPr>
            <w:tcW w:type="dxa" w:w="2551"/>
            <w:shd w:val="clear" w:color="auto" w:fill="E8EEF6"/>
          </w:tcPr>
          <w:p>
            <w:r/>
            <w:r>
              <w:rPr>
                <w:b/>
                <w:sz w:val="19"/>
              </w:rPr>
              <w:t>Pozos como ruido</w:t>
            </w:r>
          </w:p>
        </w:tc>
        <w:tc>
          <w:tcPr>
            <w:tcW w:type="dxa" w:w="2835"/>
            <w:shd w:val="clear" w:color="auto" w:fill="E8EEF6"/>
          </w:tcPr>
          <w:p>
            <w:r/>
            <w:r>
              <w:rPr>
                <w:b/>
                <w:sz w:val="19"/>
              </w:rPr>
              <w:t>Silhouette (sin ruido)</w:t>
            </w:r>
          </w:p>
        </w:tc>
      </w:tr>
      <w:tr>
        <w:tc>
          <w:tcPr>
            <w:tcW w:type="dxa" w:w="1417"/>
          </w:tcPr>
          <w:p>
            <w:r/>
            <w:r>
              <w:rPr>
                <w:sz w:val="19"/>
              </w:rPr>
              <w:t>0,6</w:t>
            </w:r>
          </w:p>
        </w:tc>
        <w:tc>
          <w:tcPr>
            <w:tcW w:type="dxa" w:w="1701"/>
          </w:tcPr>
          <w:p>
            <w:r/>
            <w:r>
              <w:rPr>
                <w:sz w:val="19"/>
              </w:rPr>
              <w:t>3</w:t>
            </w:r>
          </w:p>
        </w:tc>
        <w:tc>
          <w:tcPr>
            <w:tcW w:type="dxa" w:w="2551"/>
          </w:tcPr>
          <w:p>
            <w:r/>
            <w:r>
              <w:rPr>
                <w:sz w:val="19"/>
              </w:rPr>
              <w:t>84,4 %</w:t>
            </w:r>
          </w:p>
        </w:tc>
        <w:tc>
          <w:tcPr>
            <w:tcW w:type="dxa" w:w="2835"/>
          </w:tcPr>
          <w:p>
            <w:r/>
            <w:r>
              <w:rPr>
                <w:sz w:val="19"/>
              </w:rPr>
              <w:t>0,251</w:t>
            </w:r>
          </w:p>
        </w:tc>
      </w:tr>
      <w:tr>
        <w:tc>
          <w:tcPr>
            <w:tcW w:type="dxa" w:w="1417"/>
          </w:tcPr>
          <w:p>
            <w:r/>
            <w:r>
              <w:rPr>
                <w:sz w:val="19"/>
              </w:rPr>
              <w:t>0,9</w:t>
            </w:r>
          </w:p>
        </w:tc>
        <w:tc>
          <w:tcPr>
            <w:tcW w:type="dxa" w:w="1701"/>
          </w:tcPr>
          <w:p>
            <w:r/>
            <w:r>
              <w:rPr>
                <w:sz w:val="19"/>
              </w:rPr>
              <w:t>3</w:t>
            </w:r>
          </w:p>
        </w:tc>
        <w:tc>
          <w:tcPr>
            <w:tcW w:type="dxa" w:w="2551"/>
          </w:tcPr>
          <w:p>
            <w:r/>
            <w:r>
              <w:rPr>
                <w:sz w:val="19"/>
              </w:rPr>
              <w:t>48,0 %</w:t>
            </w:r>
          </w:p>
        </w:tc>
        <w:tc>
          <w:tcPr>
            <w:tcW w:type="dxa" w:w="2835"/>
          </w:tcPr>
          <w:p>
            <w:r/>
            <w:r>
              <w:rPr>
                <w:sz w:val="19"/>
              </w:rPr>
              <w:t>0,180</w:t>
            </w:r>
          </w:p>
        </w:tc>
      </w:tr>
      <w:tr>
        <w:tc>
          <w:tcPr>
            <w:tcW w:type="dxa" w:w="1417"/>
          </w:tcPr>
          <w:p>
            <w:r/>
            <w:r>
              <w:rPr>
                <w:sz w:val="19"/>
              </w:rPr>
              <w:t>1,2</w:t>
            </w:r>
          </w:p>
        </w:tc>
        <w:tc>
          <w:tcPr>
            <w:tcW w:type="dxa" w:w="1701"/>
          </w:tcPr>
          <w:p>
            <w:r/>
            <w:r>
              <w:rPr>
                <w:sz w:val="19"/>
              </w:rPr>
              <w:t>3</w:t>
            </w:r>
          </w:p>
        </w:tc>
        <w:tc>
          <w:tcPr>
            <w:tcW w:type="dxa" w:w="2551"/>
          </w:tcPr>
          <w:p>
            <w:r/>
            <w:r>
              <w:rPr>
                <w:sz w:val="19"/>
              </w:rPr>
              <w:t>23,4 %</w:t>
            </w:r>
          </w:p>
        </w:tc>
        <w:tc>
          <w:tcPr>
            <w:tcW w:type="dxa" w:w="2835"/>
          </w:tcPr>
          <w:p>
            <w:r/>
            <w:r>
              <w:rPr>
                <w:sz w:val="19"/>
              </w:rPr>
              <w:t>0,304</w:t>
            </w:r>
          </w:p>
        </w:tc>
      </w:tr>
    </w:tbl>
    <w:p>
      <w:pPr>
        <w:spacing w:after="40"/>
      </w:pPr>
    </w:p>
    <w:p>
      <w:r>
        <w:t>DBSCAN deja como ruido entre el 23 % y el 84 % de los pozos: la densidad de las curvas es desigual y no hay regiones densas bien separadas. Aunque su silhouette sin el ruido puede ser algo mayor, no permite asignarle un tipo a todos los pozos, que es lo que necesita la API. K-Means agrupa el 100 %, por eso es el elegido.</w:t>
      </w:r>
    </w:p>
    <w:p>
      <w:pPr>
        <w:pStyle w:val="Heading1"/>
      </w:pPr>
      <w:r>
        <w:t>6. Perfiles de los clusters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2835"/>
            <w:shd w:val="clear" w:color="auto" w:fill="E8EEF6"/>
          </w:tcPr>
          <w:p>
            <w:r/>
            <w:r>
              <w:rPr>
                <w:b/>
                <w:sz w:val="19"/>
              </w:rPr>
              <w:t>Cluster</w:t>
            </w:r>
          </w:p>
        </w:tc>
        <w:tc>
          <w:tcPr>
            <w:tcW w:type="dxa" w:w="907"/>
            <w:shd w:val="clear" w:color="auto" w:fill="E8EEF6"/>
          </w:tcPr>
          <w:p>
            <w:r/>
            <w:r>
              <w:rPr>
                <w:b/>
                <w:sz w:val="19"/>
              </w:rPr>
              <w:t>Pozos</w:t>
            </w:r>
          </w:p>
        </w:tc>
        <w:tc>
          <w:tcPr>
            <w:tcW w:type="dxa" w:w="1417"/>
            <w:shd w:val="clear" w:color="auto" w:fill="E8EEF6"/>
          </w:tcPr>
          <w:p>
            <w:r/>
            <w:r>
              <w:rPr>
                <w:b/>
                <w:sz w:val="19"/>
              </w:rPr>
              <w:t>Pico mediano pet. (m³)</w:t>
            </w:r>
          </w:p>
        </w:tc>
        <w:tc>
          <w:tcPr>
            <w:tcW w:type="dxa" w:w="1417"/>
            <w:shd w:val="clear" w:color="auto" w:fill="E8EEF6"/>
          </w:tcPr>
          <w:p>
            <w:r/>
            <w:r>
              <w:rPr>
                <w:b/>
                <w:sz w:val="19"/>
              </w:rPr>
              <w:t>Pico mediano gas (Mm³)</w:t>
            </w:r>
          </w:p>
        </w:tc>
        <w:tc>
          <w:tcPr>
            <w:tcW w:type="dxa" w:w="1361"/>
            <w:shd w:val="clear" w:color="auto" w:fill="E8EEF6"/>
          </w:tcPr>
          <w:p>
            <w:r/>
            <w:r>
              <w:rPr>
                <w:b/>
                <w:sz w:val="19"/>
              </w:rPr>
              <w:t>GOR mediano</w:t>
            </w:r>
          </w:p>
        </w:tc>
        <w:tc>
          <w:tcPr>
            <w:tcW w:type="dxa" w:w="1474"/>
            <w:shd w:val="clear" w:color="auto" w:fill="E8EEF6"/>
          </w:tcPr>
          <w:p>
            <w:r/>
            <w:r>
              <w:rPr>
                <w:b/>
                <w:sz w:val="19"/>
              </w:rPr>
              <w:t>Mes 12 / pico</w:t>
            </w:r>
          </w:p>
        </w:tc>
      </w:tr>
      <w:tr>
        <w:tc>
          <w:tcPr>
            <w:tcW w:type="dxa" w:w="2835"/>
          </w:tcPr>
          <w:p>
            <w:r/>
            <w:r>
              <w:rPr>
                <w:sz w:val="19"/>
              </w:rPr>
              <w:t>Petróleo · pico alto · declinación fuerte</w:t>
            </w:r>
          </w:p>
        </w:tc>
        <w:tc>
          <w:tcPr>
            <w:tcW w:type="dxa" w:w="907"/>
          </w:tcPr>
          <w:p>
            <w:r/>
            <w:r>
              <w:rPr>
                <w:sz w:val="19"/>
              </w:rPr>
              <w:t>1.621</w:t>
            </w:r>
          </w:p>
        </w:tc>
        <w:tc>
          <w:tcPr>
            <w:tcW w:type="dxa" w:w="1417"/>
          </w:tcPr>
          <w:p>
            <w:r/>
            <w:r>
              <w:rPr>
                <w:sz w:val="19"/>
              </w:rPr>
              <w:t>3.241</w:t>
            </w:r>
          </w:p>
        </w:tc>
        <w:tc>
          <w:tcPr>
            <w:tcW w:type="dxa" w:w="1417"/>
          </w:tcPr>
          <w:p>
            <w:r/>
            <w:r>
              <w:rPr>
                <w:sz w:val="19"/>
              </w:rPr>
              <w:t>692</w:t>
            </w:r>
          </w:p>
        </w:tc>
        <w:tc>
          <w:tcPr>
            <w:tcW w:type="dxa" w:w="1361"/>
          </w:tcPr>
          <w:p>
            <w:r/>
            <w:r>
              <w:rPr>
                <w:sz w:val="19"/>
              </w:rPr>
              <w:t>174</w:t>
            </w:r>
          </w:p>
        </w:tc>
        <w:tc>
          <w:tcPr>
            <w:tcW w:type="dxa" w:w="1474"/>
          </w:tcPr>
          <w:p>
            <w:r/>
            <w:r>
              <w:rPr>
                <w:sz w:val="19"/>
              </w:rPr>
              <w:t>30 %</w:t>
            </w:r>
          </w:p>
        </w:tc>
      </w:tr>
      <w:tr>
        <w:tc>
          <w:tcPr>
            <w:tcW w:type="dxa" w:w="2835"/>
          </w:tcPr>
          <w:p>
            <w:r/>
            <w:r>
              <w:rPr>
                <w:sz w:val="19"/>
              </w:rPr>
              <w:t>Petróleo · pico medio · declinación suave</w:t>
            </w:r>
          </w:p>
        </w:tc>
        <w:tc>
          <w:tcPr>
            <w:tcW w:type="dxa" w:w="907"/>
          </w:tcPr>
          <w:p>
            <w:r/>
            <w:r>
              <w:rPr>
                <w:sz w:val="19"/>
              </w:rPr>
              <w:t>1.300</w:t>
            </w:r>
          </w:p>
        </w:tc>
        <w:tc>
          <w:tcPr>
            <w:tcW w:type="dxa" w:w="1417"/>
          </w:tcPr>
          <w:p>
            <w:r/>
            <w:r>
              <w:rPr>
                <w:sz w:val="19"/>
              </w:rPr>
              <w:t>2.130</w:t>
            </w:r>
          </w:p>
        </w:tc>
        <w:tc>
          <w:tcPr>
            <w:tcW w:type="dxa" w:w="1417"/>
          </w:tcPr>
          <w:p>
            <w:r/>
            <w:r>
              <w:rPr>
                <w:sz w:val="19"/>
              </w:rPr>
              <w:t>1.127</w:t>
            </w:r>
          </w:p>
        </w:tc>
        <w:tc>
          <w:tcPr>
            <w:tcW w:type="dxa" w:w="1361"/>
          </w:tcPr>
          <w:p>
            <w:r/>
            <w:r>
              <w:rPr>
                <w:sz w:val="19"/>
              </w:rPr>
              <w:t>441</w:t>
            </w:r>
          </w:p>
        </w:tc>
        <w:tc>
          <w:tcPr>
            <w:tcW w:type="dxa" w:w="1474"/>
          </w:tcPr>
          <w:p>
            <w:r/>
            <w:r>
              <w:rPr>
                <w:sz w:val="19"/>
              </w:rPr>
              <w:t>55 %</w:t>
            </w:r>
          </w:p>
        </w:tc>
      </w:tr>
      <w:tr>
        <w:tc>
          <w:tcPr>
            <w:tcW w:type="dxa" w:w="2835"/>
          </w:tcPr>
          <w:p>
            <w:r/>
            <w:r>
              <w:rPr>
                <w:sz w:val="19"/>
              </w:rPr>
              <w:t>Petróleo · pico bajo · declinación fuerte</w:t>
            </w:r>
          </w:p>
        </w:tc>
        <w:tc>
          <w:tcPr>
            <w:tcW w:type="dxa" w:w="907"/>
          </w:tcPr>
          <w:p>
            <w:r/>
            <w:r>
              <w:rPr>
                <w:sz w:val="19"/>
              </w:rPr>
              <w:t>529</w:t>
            </w:r>
          </w:p>
        </w:tc>
        <w:tc>
          <w:tcPr>
            <w:tcW w:type="dxa" w:w="1417"/>
          </w:tcPr>
          <w:p>
            <w:r/>
            <w:r>
              <w:rPr>
                <w:sz w:val="19"/>
              </w:rPr>
              <w:t>155</w:t>
            </w:r>
          </w:p>
        </w:tc>
        <w:tc>
          <w:tcPr>
            <w:tcW w:type="dxa" w:w="1417"/>
          </w:tcPr>
          <w:p>
            <w:r/>
            <w:r>
              <w:rPr>
                <w:sz w:val="19"/>
              </w:rPr>
              <w:t>463</w:t>
            </w:r>
          </w:p>
        </w:tc>
        <w:tc>
          <w:tcPr>
            <w:tcW w:type="dxa" w:w="1361"/>
          </w:tcPr>
          <w:p>
            <w:r/>
            <w:r>
              <w:rPr>
                <w:sz w:val="19"/>
              </w:rPr>
              <w:t>1.447</w:t>
            </w:r>
          </w:p>
        </w:tc>
        <w:tc>
          <w:tcPr>
            <w:tcW w:type="dxa" w:w="1474"/>
          </w:tcPr>
          <w:p>
            <w:r/>
            <w:r>
              <w:rPr>
                <w:sz w:val="19"/>
              </w:rPr>
              <w:t>14 %</w:t>
            </w:r>
          </w:p>
        </w:tc>
      </w:tr>
      <w:tr>
        <w:tc>
          <w:tcPr>
            <w:tcW w:type="dxa" w:w="2835"/>
          </w:tcPr>
          <w:p>
            <w:r/>
            <w:r>
              <w:rPr>
                <w:sz w:val="19"/>
              </w:rPr>
              <w:t>Gas · declinación suave</w:t>
            </w:r>
          </w:p>
        </w:tc>
        <w:tc>
          <w:tcPr>
            <w:tcW w:type="dxa" w:w="907"/>
          </w:tcPr>
          <w:p>
            <w:r/>
            <w:r>
              <w:rPr>
                <w:sz w:val="19"/>
              </w:rPr>
              <w:t>694</w:t>
            </w:r>
          </w:p>
        </w:tc>
        <w:tc>
          <w:tcPr>
            <w:tcW w:type="dxa" w:w="1417"/>
          </w:tcPr>
          <w:p>
            <w:r/>
            <w:r>
              <w:rPr>
                <w:sz w:val="19"/>
              </w:rPr>
              <w:t>0</w:t>
            </w:r>
          </w:p>
        </w:tc>
        <w:tc>
          <w:tcPr>
            <w:tcW w:type="dxa" w:w="1417"/>
          </w:tcPr>
          <w:p>
            <w:r/>
            <w:r>
              <w:rPr>
                <w:sz w:val="19"/>
              </w:rPr>
              <w:t>4.724</w:t>
            </w:r>
          </w:p>
        </w:tc>
        <w:tc>
          <w:tcPr>
            <w:tcW w:type="dxa" w:w="1361"/>
          </w:tcPr>
          <w:p>
            <w:r/>
            <w:r>
              <w:rPr>
                <w:sz w:val="19"/>
              </w:rPr>
              <w:t>— (gas seco)</w:t>
            </w:r>
          </w:p>
        </w:tc>
        <w:tc>
          <w:tcPr>
            <w:tcW w:type="dxa" w:w="1474"/>
          </w:tcPr>
          <w:p>
            <w:r/>
            <w:r>
              <w:rPr>
                <w:sz w:val="19"/>
              </w:rPr>
              <w:t>49 %</w:t>
            </w:r>
          </w:p>
        </w:tc>
      </w:tr>
    </w:tbl>
    <w:p>
      <w:pPr>
        <w:spacing w:after="40"/>
      </w:pPr>
    </w:p>
    <w:p>
      <w:pPr>
        <w:jc w:val="center"/>
      </w:pPr>
      <w:r>
        <w:drawing>
          <wp:inline xmlns:a="http://schemas.openxmlformats.org/drawingml/2006/main" xmlns:pic="http://schemas.openxmlformats.org/drawingml/2006/picture">
            <wp:extent cx="5580000" cy="1674000"/>
            <wp:docPr id="3" name="Picture 3"/>
            <wp:cNvGraphicFramePr>
              <a:graphicFrameLocks noChangeAspect="1"/>
            </wp:cNvGraphicFramePr>
            <a:graphic>
              <a:graphicData uri="http://schemas.openxmlformats.org/drawingml/2006/picture">
                <pic:pic>
                  <pic:nvPicPr>
                    <pic:cNvPr id="0" name="04_clusters.png"/>
                    <pic:cNvPicPr/>
                  </pic:nvPicPr>
                  <pic:blipFill>
                    <a:blip r:embed="rId11"/>
                    <a:stretch>
                      <a:fillRect/>
                    </a:stretch>
                  </pic:blipFill>
                  <pic:spPr>
                    <a:xfrm>
                      <a:off x="0" y="0"/>
                      <a:ext cx="5580000" cy="1674000"/>
                    </a:xfrm>
                    <a:prstGeom prst="rect"/>
                  </pic:spPr>
                </pic:pic>
              </a:graphicData>
            </a:graphic>
          </wp:inline>
        </w:drawing>
      </w:r>
    </w:p>
    <w:p>
      <w:pPr>
        <w:jc w:val="center"/>
      </w:pPr>
      <w:r>
        <w:rPr>
          <w:i/>
          <w:sz w:val="18"/>
        </w:rPr>
        <w:t>Figura 3. Curva mediana normalizada por cluster y pozos en las 2 primeras componentes SVD.</w:t>
      </w:r>
    </w:p>
    <w:p>
      <w:pPr>
        <w:pStyle w:val="ListBullet"/>
      </w:pPr>
      <w:r>
        <w:t>Tres tipos de pozos de petróleo, que se diferencian por el tamaño del pico y la velocidad de declinación (de conservar el 14 % al 55 % del pico al mes 12).</w:t>
      </w:r>
    </w:p>
    <w:p>
      <w:pPr>
        <w:pStyle w:val="ListBullet"/>
      </w:pPr>
      <w:r>
        <w:t>Un grupo de pozos de gas, con picos muy altos y declinación suave.</w:t>
      </w:r>
    </w:p>
    <w:p>
      <w:pPr>
        <w:pStyle w:val="ListBullet"/>
      </w:pPr>
      <w:r>
        <w:t>Los nombres se generan automáticamente a partir de los perfiles (fluido, nivel de pico y declinación).</w:t>
      </w:r>
    </w:p>
    <w:p>
      <w:pPr>
        <w:pStyle w:val="Heading1"/>
      </w:pPr>
      <w:r>
        <w:t>7. Uso en el producto</w:t>
      </w:r>
    </w:p>
    <w:p>
      <w:r>
        <w:t>La API devuelve el cluster de cada pozo existente con su perfil (pozos del grupo, picos medianos, GOR, retención al mes 12). Para un pozo nuevo, la curva predicha se transforma con el mismo pipeline (escalado, SVD, K-Means) y se asigna a un grupo.</w:t>
      </w:r>
    </w:p>
    <w:p>
      <w:r>
        <w:rPr>
          <w:b w:val="0"/>
        </w:rPr>
        <w:t>La pestaña “Métricas del modelo” del frontend muestra la elección de k (silhouette y Davies-Bouldin) y los perfiles de los cuatro grupos, con la cantidad de pozos y la retención al mes 12.</w:t>
      </w:r>
    </w:p>
    <w:p>
      <w:pPr>
        <w:pStyle w:val="Heading1"/>
      </w:pPr>
      <w:r>
        <w:t>8. Limitaciones</w:t>
      </w:r>
    </w:p>
    <w:p>
      <w:pPr>
        <w:pStyle w:val="ListBullet"/>
      </w:pPr>
      <w:r>
        <w:t>Estructura débil (silhouette ≈ 0,22): los grupos describen tramos de un continuo.</w:t>
      </w:r>
    </w:p>
    <w:p>
      <w:pPr>
        <w:pStyle w:val="ListBullet"/>
      </w:pPr>
      <w:r>
        <w:t>Los pozos con menos de 12 meses de historia y los censurados quedan sin cluster.</w:t>
      </w:r>
    </w:p>
    <w:p>
      <w:pPr>
        <w:pStyle w:val="ListBullet"/>
      </w:pPr>
      <w:r>
        <w:t>La forma de 12 meses no captura comportamientos de largo plazo (reestimulaciones).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CA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5CA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5CA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