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Pre-Entrega 2 — Análisis Exploratorio y Limpieza de Datos</w:t>
      </w:r>
    </w:p>
    <w:p>
      <w:r>
        <w:rPr>
          <w:i/>
          <w:sz w:val="24"/>
        </w:rPr>
        <w:t>Proyecto Final Integrador — Data Science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Alumnos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Cristian Alejandro Aguilera, Abigail Roxana Vicentelo, Ian Lionel Tapias Díaz</w:t>
            </w:r>
          </w:p>
        </w:tc>
      </w:tr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Programa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Data Science — Energía Digital 2026 (Fundación YPF - Jump)</w:t>
            </w:r>
          </w:p>
        </w:tc>
      </w:tr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Repositorio GitHub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https://github.com/cristian-aguilera-ing/proyecto-ds-ypf.git</w:t>
            </w:r>
          </w:p>
        </w:tc>
      </w:tr>
      <w:tr>
        <w:tc>
          <w:tcPr>
            <w:tcW w:type="dxa" w:w="2551"/>
            <w:shd w:val="clear" w:color="auto" w:fill="E8EEF6"/>
          </w:tcPr>
          <w:p>
            <w:r/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Versión 2 — Cuenca Neuquina, petróleo y gas (actualizado al 23 de octubre de 2026)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Introducción</w:t>
      </w:r>
    </w:p>
    <w:p>
      <w:r>
        <w:t>Esta entrega documenta la ingesta, el análisis exploratorio (EDA) y el pipeline de limpieza y transformación sobre el dataset de producción no convencional, con foco en la Cuenca Neuquina. Notebooks: 01_eda.ipynb y 02_limpieza_transformacion.ipynb. Código: src/ypf_ds/data/.</w:t>
      </w:r>
    </w:p>
    <w:p>
      <w:pPr>
        <w:pStyle w:val="Heading1"/>
      </w:pPr>
      <w:r>
        <w:t>2. Ingesta (src/ypf_ds/data/load.py)</w:t>
      </w:r>
    </w:p>
    <w:p>
      <w:pPr>
        <w:pStyle w:val="ListBullet"/>
      </w:pPr>
      <w:r>
        <w:t>Lectura con Polars en modo lazy (scan_csv): el filtro de cuenca se aplica durante la lectura y nunca se cargan en memoria las filas descartadas.</w:t>
      </w:r>
    </w:p>
    <w:p>
      <w:pPr>
        <w:pStyle w:val="ListBullet"/>
      </w:pPr>
      <w:r>
        <w:t>Solo se leen las 24 columnas útiles, con tipos explícitos.</w:t>
      </w:r>
    </w:p>
    <w:p>
      <w:pPr>
        <w:pStyle w:val="ListBullet"/>
      </w:pPr>
      <w:r>
        <w:t>El EDA usa además DuckDB para consultas SQL directas sobre los DataFrames.</w:t>
      </w:r>
    </w:p>
    <w:p>
      <w:pPr>
        <w:pStyle w:val="ListBullet"/>
      </w:pPr>
      <w:r>
        <w:t>La función diagnostico() reporta nulos, duplicados, negativos, profundidades fuera de rango y coordenadas invertidas, sin corregir nada.</w:t>
      </w:r>
    </w:p>
    <w:p>
      <w:pPr>
        <w:pStyle w:val="ListBullet"/>
      </w:pPr>
      <w:r>
        <w:t>Resultado: la limpieza completa corre en unos 2 segundos (contra minutos con pandas sobre el CSV de 139 MB).</w:t>
      </w:r>
    </w:p>
    <w:p>
      <w:pPr>
        <w:pStyle w:val="Heading1"/>
      </w:pPr>
      <w:r>
        <w:t>3. Hallazgos del EDA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38"/>
            <w:shd w:val="clear" w:color="auto" w:fill="E8EEF6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6973"/>
            <w:shd w:val="clear" w:color="auto" w:fill="E8EEF6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Concentración por cuenca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Neuquina: 404.037 filas y 4.862 pozos (96 %). Austral 16.197, Golfo San Jorge 627, Noroeste 185.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Columnas vacías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vida_util 97,9 % nulos, observaciones 94,3 %; iny_* (inyección) ~100 % en 0.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Profundidad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Un pozo (156804) con 378.939 m repetido en todos sus meses (error de carga); 1,4 % de filas en 0 (dato faltante).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Días efectivos (tef)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15 filas con más días que los del mes; 384 filas con producción pero tef = 0.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Producción negativa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2 filas de gas (correcciones cargadas con signo).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Coordenadas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Un pozo (68 filas) con latitud y longitud invertidas.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Meses faltantes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Pozos con meses sin fila (paradas): 566 meses reconstruidos en la grilla.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Distribución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Producción muy sesgada a la derecha: el percentil 99 es cientos de veces la mediana.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Serie temporal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Crecimiento exponencial desde 2014 (boom de Vaca Muerta).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9"/>
              </w:rPr>
              <w:t>Relación gas/petróleo (GOR)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Bimodal por pozo: un grupo de petróleo (cientos de m³/m³) y otro de gas (decenas de miles).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rie_tempo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Producción total y pozos activos de la Cuenca Neuquina.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GOR acumulado por pozo (escala log): dos poblaciones, petróleo y gas.</w:t>
      </w:r>
    </w:p>
    <w:p>
      <w:r>
        <w:t>Conclusión clave del EDA: la bimodalidad del GOR muestra que los pozos de petróleo y de gas son poblaciones distintas. Por eso se modelan petróleo y gas por separado.</w:t>
      </w:r>
    </w:p>
    <w:p>
      <w:pPr>
        <w:pStyle w:val="Heading1"/>
      </w:pPr>
      <w:r>
        <w:t>4. Limpieza (src/ypf_ds/data/clean.py)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E8EEF6"/>
          </w:tcPr>
          <w:p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7370"/>
            <w:shd w:val="clear" w:color="auto" w:fill="E8EEF6"/>
          </w:tcPr>
          <w:p>
            <w:r/>
            <w:r>
              <w:rPr>
                <w:b/>
                <w:sz w:val="19"/>
              </w:rPr>
              <w:t>Regla aplicada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Filtro de población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cuenca = NEUQUINA; se excluyen inyectores, sumideros, acuíferos y pozos de servicio.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Columnas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Se descartan vida_util, observaciones, iny_* y metadata de carga.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Negativos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Producción &lt; 0 → 0.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tef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Acotado a [0, días del mes]; si hay producción con tef = 0 se asume el mes completo.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Profundidad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Fuera de [300, 8.000] m → mediana del pozo → Capítulo IV → mediana (formación, yacimiento) → mediana por formación.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Coordenadas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Longitud &gt; −60 → lat/lon invertidas, se intercambian.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Operadora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Se toma la última informada (981 pozos cambiaron de operadora).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Grilla mensual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Cada pozo tiene todos los meses entre su primer mes productivo y su último reporte; los faltantes quedan en 0 con mes_faltante = True. Así “el mes anterior” es siempre el mes calendario real.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Censura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57 pozos que ya producían en 2006 (inicio del registro) se marcan: su edad real es desconocida.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Fluido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petróleo si el GOR acumulado &lt; 3.000 m³/m³; si no, gas (2.708 y 1.974 pozos).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Capítulo IV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Se une por idpozo (98 % de cobertura): cota, días de perforación, días de terminación y profundidad de respaldo. La sigla con “(h)” marca los pozos horizontales (2.847).</w:t>
            </w:r>
          </w:p>
        </w:tc>
      </w:tr>
    </w:tbl>
    <w:p>
      <w:pPr>
        <w:spacing w:after="40"/>
      </w:pPr>
    </w:p>
    <w:p>
      <w:pPr>
        <w:pStyle w:val="Heading2"/>
      </w:pPr>
      <w:r>
        <w:t>4.1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E8EEF6"/>
          </w:tcPr>
          <w:p>
            <w:r/>
            <w:r>
              <w:rPr>
                <w:b/>
                <w:sz w:val="19"/>
              </w:rPr>
              <w:t>Chequeo</w:t>
            </w:r>
          </w:p>
        </w:tc>
        <w:tc>
          <w:tcPr>
            <w:tcW w:type="dxa" w:w="4876"/>
            <w:shd w:val="clear" w:color="auto" w:fill="E8EEF6"/>
          </w:tcPr>
          <w:p>
            <w:r/>
            <w:r>
              <w:rPr>
                <w:b/>
                <w:sz w:val="19"/>
              </w:rPr>
              <w:t>Después de la limpieza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Producción negativa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tef mayor a los días del mes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Duplicados pozo-mes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Profundidad nula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Coordenadas invertidas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Saltos en la grilla mensual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0 (verificado con test automático)</w:t>
            </w:r>
          </w:p>
        </w:tc>
      </w:tr>
    </w:tbl>
    <w:p>
      <w:pPr>
        <w:spacing w:after="40"/>
      </w:pPr>
    </w:p>
    <w:p>
      <w:r>
        <w:t>Estas verificaciones están automatizadas en tests/test_datos.py y se corren con pytest.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9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mp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Profundidad limpia y ubicación de los pozos (color: producción acumulada).</w:t>
      </w:r>
    </w:p>
    <w:p>
      <w:pPr>
        <w:pStyle w:val="Heading1"/>
      </w:pPr>
      <w:r>
        <w:t>5. Transformaciones</w:t>
      </w:r>
    </w:p>
    <w:p>
      <w:pPr>
        <w:pStyle w:val="ListBullet"/>
      </w:pPr>
      <w:r>
        <w:rPr>
          <w:b/>
        </w:rPr>
        <w:t xml:space="preserve">Escala log: </w:t>
      </w:r>
      <w:r>
        <w:t>la producción se analiza con log1p por su asimetría extrema.</w:t>
      </w:r>
    </w:p>
    <w:p>
      <w:pPr>
        <w:pStyle w:val="ListBullet"/>
      </w:pPr>
      <w:r>
        <w:rPr>
          <w:b/>
        </w:rPr>
        <w:t xml:space="preserve">Encoding: </w:t>
      </w:r>
      <w:r>
        <w:t>las categóricas (formación, yacimiento, operadora) se pasan como category nativo de LightGBM, sin one-hot (evita 132 columnas solo para los yacimientos). Las operadoras con pocos pozos se agrupan en “OTRAS”.</w:t>
      </w:r>
    </w:p>
    <w:p>
      <w:pPr>
        <w:pStyle w:val="ListBullet"/>
      </w:pPr>
      <w:r>
        <w:rPr>
          <w:b/>
        </w:rPr>
        <w:t xml:space="preserve">Escalado: </w:t>
      </w:r>
      <w:r>
        <w:t>estandarización (StandardScaler) para los modelos sensibles a la escala (Ridge, KNN, MLP) y para el clustering.</w:t>
      </w:r>
    </w:p>
    <w:p>
      <w:pPr>
        <w:pStyle w:val="ListBullet"/>
      </w:pPr>
      <w:r>
        <w:rPr>
          <w:b/>
        </w:rPr>
        <w:t xml:space="preserve">Variables derivadas: </w:t>
      </w:r>
      <w:r>
        <w:t>lags de 1, 2, 3, 6 y 12 meses, medias móviles, pico histórico, producción/pico, acumulada, caudal por día efectivo, GOR, corte de agua y tendencia (detalle en la Pre-Entrega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pitulo_i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Capítulo IV: pozos horizontales vs verticales, días de terminación y profundidad contra la acumulada a 12 meses.</w:t>
      </w:r>
    </w:p>
    <w:p>
      <w:pPr>
        <w:pStyle w:val="Heading1"/>
      </w:pPr>
      <w:r>
        <w:t>6. Conclusión</w:t>
      </w:r>
    </w:p>
    <w:p>
      <w:r>
        <w:t>El dataset de trabajo queda en data/processed/ (382.992 filas pozo-mes y 4.682 pozos), verificado numérica y visualmente, y es el insumo directo del modelado.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5CA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5CA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