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Notas de clase</w:t>
      </w:r>
    </w:p>
    <w:p>
      <w:pPr>
        <w:spacing w:after="60"/>
        <w:jc w:val="center"/>
      </w:pPr>
      <w:r>
        <w:rPr>
          <w:b/>
          <w:bCs/>
          <w:sz w:val="26"/>
          <w:szCs w:val="26"/>
        </w:rPr>
        <w:t xml:space="preserve">12 de agosto de 2026</w:t>
      </w:r>
    </w:p>
    <w:p>
      <w:pPr>
        <w:spacing w:after="60"/>
        <w:jc w:val="center"/>
      </w:pPr>
      <w:r>
        <w:rPr>
          <w:color w:val="444444"/>
          <w:sz w:val="24"/>
          <w:szCs w:val="24"/>
        </w:rPr>
        <w:t xml:space="preserve">Tema: Playwright y automatización de pruebas</w:t>
      </w:r>
    </w:p>
    <w:p>
      <w:pPr>
        <w:spacing w:after="400"/>
        <w:jc w:val="center"/>
      </w:pPr>
      <w:r>
        <w:rPr>
          <w:i/>
          <w:iCs/>
          <w:color w:val="666666"/>
          <w:sz w:val="22"/>
          <w:szCs w:val="22"/>
        </w:rPr>
        <w:t xml:space="preserve">Presentado por: Luz Marina Franco Hernández</w:t>
      </w:r>
    </w:p>
    <w:p>
      <w:pPr>
        <w:spacing w:after="200"/>
        <w:jc w:val="center"/>
      </w:pPr>
      <w:r>
        <w:drawing>
          <wp:inline distT="0" distB="0" distL="0" distR="0">
            <wp:extent cx="4762500" cy="2676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50" w:before="300"/>
      </w:pPr>
      <w:r>
        <w:t xml:space="preserve">1. ¿Qué es Playwright?</w:t>
      </w:r>
    </w:p>
    <w:p>
      <w:pPr>
        <w:spacing w:after="120"/>
      </w:pPr>
      <w:r>
        <w:rPr>
          <w:sz w:val="22"/>
          <w:szCs w:val="22"/>
        </w:rPr>
        <w:t xml:space="preserve">Playwright es un framework de automatización de pruebas desarrollado por Microsoft. Permite controlar navegadores mediante código para comprobar automáticamente el funcionamiento de aplicaciones web.</w:t>
      </w:r>
    </w:p>
    <w:p>
      <w:pPr>
        <w:spacing w:after="120"/>
      </w:pPr>
      <w:r>
        <w:rPr>
          <w:sz w:val="22"/>
          <w:szCs w:val="22"/>
        </w:rPr>
        <w:t xml:space="preserve">Su objetivo es simular las acciones que realizaría un usuario real y verificar que la aplicación responda correctamente.</w:t>
      </w:r>
    </w:p>
    <w:p>
      <w:pPr>
        <w:spacing w:after="200"/>
        <w:jc w:val="center"/>
      </w:pPr>
      <w:r>
        <w:drawing>
          <wp:inline distT="0" distB="0" distL="0" distR="0">
            <wp:extent cx="4572000" cy="2581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single" w:color="C00000" w:sz="6" w:space="8"/>
        </w:pBdr>
        <w:spacing w:after="200"/>
        <w:ind w:left="200"/>
      </w:pPr>
      <w:r>
        <w:rPr>
          <w:i/>
          <w:iCs/>
          <w:color w:val="555555"/>
          <w:sz w:val="20"/>
          <w:szCs w:val="20"/>
        </w:rPr>
        <w:t xml:space="preserve">Nota: codificando se pueden crear pruebas para validar el sistema. Esto incluye pruebas funcionales, E2E, de regresión y de navegación e interacción con la interfaz.</w:t>
      </w:r>
    </w:p>
    <w:p>
      <w:pPr>
        <w:pStyle w:val="Heading1"/>
        <w:spacing w:after="150" w:before="300"/>
      </w:pPr>
      <w:r>
        <w:t xml:space="preserve">2. Funciones</w:t>
      </w:r>
    </w:p>
    <w:p>
      <w:pPr>
        <w:spacing w:after="120"/>
      </w:pPr>
      <w:r>
        <w:rPr>
          <w:sz w:val="22"/>
          <w:szCs w:val="22"/>
        </w:rPr>
        <w:t xml:space="preserve">Playwright se utiliza principalmente para realizar pruebas: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Funcionales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E2E (End to End)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De regresión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De navegación e interacción con la interfaz</w:t>
      </w:r>
    </w:p>
    <w:p>
      <w:pPr>
        <w:spacing w:after="200"/>
        <w:jc w:val="center"/>
      </w:pPr>
      <w:r>
        <w:drawing>
          <wp:inline distT="0" distB="0" distL="0" distR="0">
            <wp:extent cx="4572000" cy="2581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50" w:before="300"/>
      </w:pPr>
      <w:r>
        <w:t xml:space="preserve">3. ¿Para qué sirve y cómo funciona?</w:t>
      </w:r>
    </w:p>
    <w:p>
      <w:pPr>
        <w:spacing w:after="120"/>
      </w:pPr>
      <w:r>
        <w:rPr>
          <w:sz w:val="22"/>
          <w:szCs w:val="22"/>
        </w:rPr>
        <w:t xml:space="preserve">Playwright permite automatizar acciones que normalmente realizaría el usuario en la aplicación.</w:t>
      </w:r>
    </w:p>
    <w:p>
      <w:pPr>
        <w:pStyle w:val="Heading2"/>
        <w:spacing w:after="100" w:before="200"/>
      </w:pPr>
      <w:r>
        <w:t xml:space="preserve">Ejemplo de flujo: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Abrir página → Iniciar sesión → Llenar formulario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Verificar → Hacer clic</w:t>
      </w:r>
    </w:p>
    <w:p>
      <w:pPr>
        <w:spacing w:after="120"/>
      </w:pPr>
      <w:r>
        <w:rPr>
          <w:sz w:val="22"/>
          <w:szCs w:val="22"/>
        </w:rPr>
        <w:t xml:space="preserve">Además de realizar acciones, Playwright puede comprobar si el resultado obtenido es el esperado.</w:t>
      </w:r>
    </w:p>
    <w:p>
      <w:pPr>
        <w:spacing w:after="200"/>
        <w:jc w:val="center"/>
      </w:pPr>
      <w:r>
        <w:drawing>
          <wp:inline distT="0" distB="0" distL="0" distR="0">
            <wp:extent cx="4572000" cy="2581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single" w:color="C00000" w:sz="6" w:space="8"/>
        </w:pBdr>
        <w:spacing w:after="200"/>
        <w:ind w:left="200"/>
      </w:pPr>
      <w:r>
        <w:rPr>
          <w:i/>
          <w:iCs/>
          <w:color w:val="555555"/>
          <w:sz w:val="20"/>
          <w:szCs w:val="20"/>
        </w:rPr>
        <w:t xml:space="preserve">Nota: sirve para automatizar acciones que haría el usuario.</w:t>
      </w:r>
    </w:p>
    <w:p>
      <w:pPr>
        <w:pStyle w:val="Heading1"/>
        <w:spacing w:after="150" w:before="300"/>
      </w:pPr>
      <w:r>
        <w:t xml:space="preserve">4. Navegadores y lenguajes compatibles</w:t>
      </w:r>
    </w:p>
    <w:p>
      <w:pPr>
        <w:spacing w:after="120"/>
      </w:pPr>
      <w:r>
        <w:rPr>
          <w:sz w:val="22"/>
          <w:szCs w:val="22"/>
        </w:rPr>
        <w:t xml:space="preserve">Playwright permite ejecutar las pruebas en diferentes motores de navegador: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Chromium: utilizado por Chrome, Microsoft Edge, Brave, Opera y Vivaldi.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Firefox: permite probar el comportamiento en Firefox.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WebKit: permite realizar pruebas sobre el motor utilizado por Safari.</w:t>
      </w:r>
    </w:p>
    <w:p>
      <w:pPr>
        <w:spacing w:after="120"/>
      </w:pPr>
      <w:r>
        <w:rPr>
          <w:sz w:val="22"/>
          <w:szCs w:val="22"/>
        </w:rPr>
        <w:t xml:space="preserve">Puede utilizarse con los siguientes lenguajes: JavaScript, TypeScript, Python, Java y C# / .NET.</w:t>
      </w:r>
    </w:p>
    <w:p>
      <w:pPr>
        <w:spacing w:after="200"/>
        <w:jc w:val="center"/>
      </w:pPr>
      <w:r>
        <w:drawing>
          <wp:inline distT="0" distB="0" distL="0" distR="0">
            <wp:extent cx="4762500" cy="2390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50" w:before="300"/>
      </w:pPr>
      <w:r>
        <w:t xml:space="preserve">5. ¿Qué programas necesitamos?</w:t>
      </w:r>
    </w:p>
    <w:p>
      <w:pPr>
        <w:spacing w:after="120"/>
      </w:pPr>
      <w:r>
        <w:rPr>
          <w:sz w:val="22"/>
          <w:szCs w:val="22"/>
        </w:rPr>
        <w:t xml:space="preserve">Para trabajar en Playwright necesitamos lo siguiente: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Visual Studio Code: para programar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Node.js: para programar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NPM: para programar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Playwright: para programar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Navegador: para programar</w:t>
      </w:r>
    </w:p>
    <w:p>
      <w:pPr>
        <w:spacing w:after="200"/>
        <w:jc w:val="center"/>
      </w:pPr>
      <w:r>
        <w:drawing>
          <wp:inline distT="0" distB="0" distL="0" distR="0">
            <wp:extent cx="4762500" cy="2600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50" w:before="300"/>
      </w:pPr>
      <w:r>
        <w:t xml:space="preserve">6. Estructura del proyecto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tests/: contiene los casos de prueba.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.spec.js: contiene los casos de prueba.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playwright.config.js: configuración del proyecto.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package.json: dependencias y configuración de NPM.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node_modules/: carpeta donde NPM guarda las dependencias que necesita el proyecto para funcionar.</w:t>
      </w:r>
    </w:p>
    <w:p>
      <w:pPr>
        <w:spacing w:after="200"/>
        <w:jc w:val="center"/>
      </w:pPr>
      <w:r>
        <w:drawing>
          <wp:inline distT="0" distB="0" distL="0" distR="0">
            <wp:extent cx="4762500" cy="2657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5bc9cc38163cc6ac74293a6cbe38fa67891ccaf.png"/><Relationship Id="rId8" Type="http://schemas.openxmlformats.org/officeDocument/2006/relationships/image" Target="media/bd34e3667485e1ec36c497c22cacfd2ec710fdc7.png"/><Relationship Id="rId9" Type="http://schemas.openxmlformats.org/officeDocument/2006/relationships/image" Target="media/4cafd4b85273e8ebd3b33fd65420e6d0d41aa9a8.png"/><Relationship Id="rId10" Type="http://schemas.openxmlformats.org/officeDocument/2006/relationships/image" Target="media/48398951991e72b6461f23e129ecd997a8484f72.png"/><Relationship Id="rId11" Type="http://schemas.openxmlformats.org/officeDocument/2006/relationships/image" Target="media/99a8b613a7b0f16875b185b9a74c21a178cb35d4.png"/><Relationship Id="rId12" Type="http://schemas.openxmlformats.org/officeDocument/2006/relationships/image" Target="media/ad84748a4ecde086dc68fa6f791ad603927ec701.png"/><Relationship Id="rId13" Type="http://schemas.openxmlformats.org/officeDocument/2006/relationships/image" Target="media/f43dde11f5c2f03f3805fdc0ca6b3227bf52317d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2026-08-12T22:14:54.399Z</dcterms:created>
  <dcterms:modified xsi:type="dcterms:W3CDTF">2026-08-12T22:14:54.414Z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