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00000"/>
          <w:sz w:val="46"/>
        </w:rPr>
        <w:t>INFORME DE SOPORTE</w:t>
      </w:r>
    </w:p>
    <w:p>
      <w:pPr>
        <w:spacing w:after="280"/>
      </w:pPr>
      <w:r>
        <w:rPr>
          <w:rFonts w:ascii="Calibri" w:hAnsi="Calibri"/>
          <w:color w:val="373737"/>
          <w:sz w:val="28"/>
        </w:rPr>
        <w:t>Justificacion de datos y reglas de negocio para una app academica de prestamos basada en Interbank</w:t>
      </w:r>
    </w:p>
    <w:p>
      <w:pPr>
        <w:spacing w:after="40"/>
      </w:pPr>
      <w:r>
        <w:rPr>
          <w:rFonts w:ascii="Calibri" w:hAnsi="Calibri"/>
          <w:b/>
        </w:rPr>
        <w:t xml:space="preserve">Proyecto: </w:t>
      </w:r>
      <w:r>
        <w:t>Interbank UC - App de prestamos y cartera</w:t>
      </w:r>
    </w:p>
    <w:p>
      <w:r>
        <w:rPr>
          <w:b/>
        </w:rPr>
        <w:t xml:space="preserve">Estudiante: </w:t>
      </w:r>
      <w:r>
        <w:t>Cristian Jesus Celis Gutierrez</w:t>
      </w:r>
    </w:p>
    <w:p>
      <w:r>
        <w:rPr>
          <w:b/>
        </w:rPr>
        <w:t xml:space="preserve">Materia: </w:t>
      </w:r>
      <w:r>
        <w:t>Desarrollo de Aplicaciones Moviles</w:t>
      </w:r>
    </w:p>
    <w:p>
      <w:pPr>
        <w:spacing w:after="40"/>
      </w:pPr>
      <w:r>
        <w:rPr>
          <w:rFonts w:ascii="Calibri" w:hAnsi="Calibri"/>
          <w:b/>
        </w:rPr>
        <w:t xml:space="preserve">Objetivo: </w:t>
      </w:r>
      <w:r>
        <w:t>Sustentar decisiones tecnicas y de negocio con fuentes oficiales</w:t>
      </w:r>
    </w:p>
    <w:p>
      <w:pPr>
        <w:spacing w:after="40"/>
      </w:pPr>
      <w:r>
        <w:rPr>
          <w:rFonts w:ascii="Calibri" w:hAnsi="Calibri"/>
          <w:b/>
        </w:rPr>
        <w:t xml:space="preserve">Fecha de consulta de fuentes: </w:t>
      </w:r>
      <w:r>
        <w:t>02 de julio de 2026</w:t>
      </w:r>
    </w:p>
    <w:p>
      <w:pPr>
        <w:spacing w:after="40"/>
      </w:pPr>
      <w:r>
        <w:rPr>
          <w:rFonts w:ascii="Calibri" w:hAnsi="Calibri"/>
          <w:b/>
        </w:rPr>
        <w:t xml:space="preserve">Alcance: </w:t>
      </w:r>
      <w:r>
        <w:t>Simulacion, solicitud, evaluacion, aprobacion y desembolso referencial</w:t>
      </w:r>
    </w:p>
    <w:p>
      <w:pPr>
        <w:spacing w:after="240"/>
        <w:pBdr>
          <w:bottom w:val="single" w:sz="12" w:space="1" w:color="2E74B5"/>
        </w:pBdr>
      </w:pPr>
    </w:p>
    <w:p>
      <w:pPr>
        <w:spacing w:after="120" w:line="264" w:lineRule="auto"/>
      </w:pPr>
      <w:r>
        <w:t>Este informe documenta las decisiones de datos, productos y reglas de negocio que deberia usar la app para comportarse como un prototipo bancario realista. La app revisada contiene flujos de cartera diaria, preevaluacion, registro de solicitudes, decision por comite, desembolso y cronograma de pagos; por ello el documento prioriza creditos de consumo, micro/PYME, hipotecarios y vehiculares, sin afirmar que el sistema sea una implementacion oficial de Interbank.</w:t>
      </w:r>
    </w:p>
    <w:p>
      <w:pPr>
        <w:pStyle w:val="Heading1"/>
        <w:spacing w:after="120" w:line="264" w:lineRule="auto"/>
      </w:pPr>
      <w:r>
        <w:t>1. Resumen ejecutivo</w:t>
      </w:r>
    </w:p>
    <w:p>
      <w:pPr>
        <w:spacing w:after="120" w:line="264" w:lineRule="auto"/>
      </w:pPr>
      <w:r>
        <w:t>La app debe tratarse como un simulador academico de originacion crediticia. Su valor no esta en reemplazar un motor bancario real, sino en mostrar un flujo coherente: captura de datos, preevaluacion, solicitud, aprobacion, desembolso y seguimiento de cartera. Las tasas y reglas deben cargarse desde parametros y no quedar fijas en codigo, porque los tarifarios oficiales cambian por producto, moneda, perfil de riesgo y fecha de vigencia.</w:t>
      </w:r>
    </w:p>
    <w:p>
      <w:pPr>
        <w:pStyle w:val="ListBullet"/>
        <w:spacing w:after="80" w:line="280" w:lineRule="auto"/>
      </w:pPr>
      <w:r>
        <w:t>Producto prioritario para el prototipo: prestamo personal / consumo no revolvente, porque es el flujo mas cercano al codigo actual y admite solicitud digital, monto, plazo, TEA y cronograma.</w:t>
      </w:r>
    </w:p>
    <w:p>
      <w:pPr>
        <w:pStyle w:val="ListBullet"/>
        <w:spacing w:after="80" w:line="280" w:lineRule="auto"/>
      </w:pPr>
      <w:r>
        <w:t>Segundo frente funcional: credito para negocio pequeno o microempresa, porque la app captura tipo de negocio, ingresos estimados y destino del credito.</w:t>
      </w:r>
    </w:p>
    <w:p>
      <w:pPr>
        <w:pStyle w:val="ListBullet"/>
        <w:spacing w:after="80" w:line="280" w:lineRule="auto"/>
      </w:pPr>
      <w:r>
        <w:t>Productos complementarios: hipotecario y vehicular. Deben incluirse como simulaciones parametrizadas, porque sus garantias, seguros y requisitos vuelven mas complejo el flujo de aprobacion.</w:t>
      </w:r>
    </w:p>
    <w:p>
      <w:pPr>
        <w:pStyle w:val="ListBullet"/>
        <w:spacing w:after="80" w:line="280" w:lineRule="auto"/>
      </w:pPr>
      <w:r>
        <w:t>Decision tecnica clave: separar tasa nominal, TEA, TCEA, seguros, comisiones e ITF. La cuota del cronograma debe calcularse con la tasa efectiva mensual derivada de la TEA.</w:t>
      </w:r>
    </w:p>
    <w:p>
      <w:pPr>
        <w:pStyle w:val="Heading1"/>
        <w:spacing w:after="120" w:line="264" w:lineRule="auto"/>
      </w:pPr>
      <w:r>
        <w:t>2. Casos de uso de la app</w:t>
      </w:r>
    </w:p>
    <w:p>
      <w:pPr>
        <w:spacing w:after="120" w:line="264" w:lineRule="auto"/>
      </w:pPr>
      <w:r>
        <w:t>La app soporta un flujo general de originacion y administracion de credito. En el codigo local se observa un modulo de preevaluacion que clasifica al cliente como APTO, REVISAR o NO_PROCEDE segun capacidad de pago; un modulo de solicitudes que registra datos del cliente, monto, plazo, moneda, garantia, destino, cuota estimada y TEA referencial; un tablero de comite/admin que aprueba, rechaza o condiciona; y una rutina de desembolso que crea el credito, el cronograma y el abono en cuenta.</w:t>
      </w:r>
    </w:p>
    <w:p>
      <w:pPr>
        <w:pStyle w:val="ListNumber"/>
        <w:spacing w:after="80" w:line="280" w:lineRule="auto"/>
      </w:pPr>
      <w:r>
        <w:t>Simulacion: el usuario o asesor ingresa monto, plazo, moneda, producto y TEA referencial; el sistema estima cuota, total a pagar y cronograma.</w:t>
      </w:r>
    </w:p>
    <w:p>
      <w:pPr>
        <w:pStyle w:val="ListNumber"/>
        <w:spacing w:after="80" w:line="280" w:lineRule="auto"/>
      </w:pPr>
      <w:r>
        <w:t>Preevaluacion: se calcula una regla academica de capacidad de pago. Si el monto solicitado no supera 0.6 veces los ingresos anuales estimados, el cliente se marca APTO; entre 0.6 y 1.2 pasa a REVISION; por encima de 1.2 se marca NO_PROCEDE.</w:t>
      </w:r>
    </w:p>
    <w:p>
      <w:pPr>
        <w:pStyle w:val="ListNumber"/>
        <w:spacing w:after="80" w:line="280" w:lineRule="auto"/>
      </w:pPr>
      <w:r>
        <w:t>Solicitud: se registra expediente, datos personales o de negocio, ingresos, garantia, destino del credito, firma/consentimiento y tasa referencial.</w:t>
      </w:r>
    </w:p>
    <w:p>
      <w:pPr>
        <w:pStyle w:val="ListNumber"/>
        <w:spacing w:after="80" w:line="280" w:lineRule="auto"/>
      </w:pPr>
      <w:r>
        <w:t>Evaluacion y decision: el comite puede aprobar, rechazar o condicionar. Si aprueba, debe existir monto aprobado mayor que cero.</w:t>
      </w:r>
    </w:p>
    <w:p>
      <w:pPr>
        <w:pStyle w:val="ListNumber"/>
        <w:spacing w:after="80" w:line="280" w:lineRule="auto"/>
      </w:pPr>
      <w:r>
        <w:t>Desembolso: el sistema crea una cuenta de credito, genera cuotas mensuales con metodo frances y abona el desembolso en una cuenta activa del cliente.</w:t>
      </w:r>
    </w:p>
    <w:p>
      <w:pPr>
        <w:pStyle w:val="ListNumber"/>
        <w:spacing w:after="80" w:line="280" w:lineRule="auto"/>
      </w:pPr>
      <w:r>
        <w:t>Seguimiento: la cartera diaria permite priorizar visitas, registrar mora, gestionar alertas y consultar historial de creditos.</w:t>
      </w:r>
    </w:p>
    <w:p>
      <w:pPr>
        <w:spacing w:after="120" w:line="264" w:lineRule="auto"/>
      </w:pPr>
      <w:r>
        <w:t>Reglas de negocio propuestas para el prototipo:</w:t>
      </w:r>
    </w:p>
    <w:p>
      <w:pPr>
        <w:pStyle w:val="ListBullet"/>
        <w:spacing w:after="80" w:line="280" w:lineRule="auto"/>
      </w:pPr>
      <w:r>
        <w:t>No desembolsar una solicitud sin estado aprobado, monto aprobado y plazo valido.</w:t>
      </w:r>
    </w:p>
    <w:p>
      <w:pPr>
        <w:pStyle w:val="ListBullet"/>
        <w:spacing w:after="80" w:line="280" w:lineRule="auto"/>
      </w:pPr>
      <w:r>
        <w:t>No usar una TEA fuera del rango oficial del producto y moneda seleccionados, salvo que se marque explicitamente como campana/promocion simulada.</w:t>
      </w:r>
    </w:p>
    <w:p>
      <w:pPr>
        <w:pStyle w:val="ListBullet"/>
        <w:spacing w:after="80" w:line="280" w:lineRule="auto"/>
      </w:pPr>
      <w:r>
        <w:t>Calcular la tasa efectiva mensual como TEM = (1 + TEA)^(1/12) - 1, y la cuota como cuota = monto * TEM / (1 - (1 + TEM)^(-n)).</w:t>
      </w:r>
    </w:p>
    <w:p>
      <w:pPr>
        <w:pStyle w:val="ListBullet"/>
        <w:spacing w:after="80" w:line="280" w:lineRule="auto"/>
      </w:pPr>
      <w:r>
        <w:t>Registrar fuente y fecha de vigencia de la tasa en cada simulacion para trazabilidad academica.</w:t>
      </w:r>
    </w:p>
    <w:p>
      <w:pPr>
        <w:pStyle w:val="ListBullet"/>
        <w:spacing w:after="80" w:line="280" w:lineRule="auto"/>
      </w:pPr>
      <w:r>
        <w:t>Separar elegibilidad de precio: un cliente puede ser elegible pero recibir una tasa distinta por scoring, garantia, moneda y producto.</w:t>
      </w:r>
      <w:r>
        <w:br w:type="page"/>
      </w:r>
    </w:p>
    <w:p>
      <w:pPr>
        <w:pStyle w:val="Heading1"/>
        <w:spacing w:after="120" w:line="264" w:lineRule="auto"/>
      </w:pPr>
      <w:r>
        <w:t>3. Productos de credito y alcance funcional</w:t>
      </w:r>
    </w:p>
    <w:tbl>
      <w:tblPr>
        <w:tblW w:type="dxa" w:w="9360"/>
        <w:jc w:val="left"/>
        <w:tblLayout w:type="fixed"/>
        <w:tblLook w:firstColumn="1" w:firstRow="1" w:lastColumn="0" w:lastRow="0" w:noHBand="0" w:noVBand="1" w:val="04A0"/>
        <w:tblLayout w:type="fixed"/>
        <w:tblInd w:w="120" w:type="dxa"/>
      </w:tblPr>
      <w:tblGrid>
        <w:gridCol w:w="1700"/>
        <w:gridCol w:w="2050"/>
        <w:gridCol w:w="3400"/>
        <w:gridCol w:w="2210"/>
      </w:tblGrid>
      <w:tr>
        <w:tc>
          <w:tcPr>
            <w:tcW w:type="dxa" w:w="1700"/>
            <w:shd w:fill="F2F4F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pPr>
            <w:r>
              <w:rPr>
                <w:rFonts w:ascii="Calibri" w:hAnsi="Calibri"/>
                <w:b/>
                <w:color w:val="142337"/>
                <w:sz w:val="17"/>
              </w:rPr>
              <w:t>Producto</w:t>
            </w:r>
          </w:p>
        </w:tc>
        <w:tc>
          <w:tcPr>
            <w:tcW w:type="dxa" w:w="2050"/>
            <w:shd w:fill="F2F4F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pPr>
            <w:r>
              <w:rPr>
                <w:rFonts w:ascii="Calibri" w:hAnsi="Calibri"/>
                <w:b/>
                <w:color w:val="142337"/>
                <w:sz w:val="17"/>
              </w:rPr>
              <w:t>Uso en la app</w:t>
            </w:r>
          </w:p>
        </w:tc>
        <w:tc>
          <w:tcPr>
            <w:tcW w:type="dxa" w:w="3400"/>
            <w:shd w:fill="F2F4F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pPr>
            <w:r>
              <w:rPr>
                <w:rFonts w:ascii="Calibri" w:hAnsi="Calibri"/>
                <w:b/>
                <w:color w:val="142337"/>
                <w:sz w:val="17"/>
              </w:rPr>
              <w:t>Reglas/condiciones oficiales relevantes</w:t>
            </w:r>
          </w:p>
        </w:tc>
        <w:tc>
          <w:tcPr>
            <w:tcW w:type="dxa" w:w="2210"/>
            <w:shd w:fill="F2F4F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pPr>
            <w:r>
              <w:rPr>
                <w:rFonts w:ascii="Calibri" w:hAnsi="Calibri"/>
                <w:b/>
                <w:color w:val="142337"/>
                <w:sz w:val="17"/>
              </w:rPr>
              <w:t>Decision de implementacion</w:t>
            </w:r>
          </w:p>
        </w:tc>
      </w:tr>
      <w:tr>
        <w:tc>
          <w:tcPr>
            <w:tcW w:type="dxa" w:w="17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7"/>
              </w:rPr>
              <w:t>Prestamo personal / consumo</w:t>
            </w:r>
          </w:p>
        </w:tc>
        <w:tc>
          <w:tcPr>
            <w:tcW w:type="dxa" w:w="20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7"/>
              </w:rPr>
              <w:t>Producto base para simulacion y desembolso movil.</w:t>
            </w:r>
          </w:p>
        </w:tc>
        <w:tc>
          <w:tcPr>
            <w:tcW w:type="dxa" w:w="34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7"/>
              </w:rPr>
              <w:t>Interbank informa solicitud digital, desembolso con DNI, monto de S/ 1,000 a S/ 60,000 sin aval previa evaluacion, y plazo de 6 a 60 meses.</w:t>
            </w:r>
          </w:p>
        </w:tc>
        <w:tc>
          <w:tcPr>
            <w:tcW w:type="dxa" w:w="221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7"/>
              </w:rPr>
              <w:t>Mantener como flujo principal. Validar monto, plazo, moneda, TEA y seguro de desgravamen.</w:t>
            </w:r>
          </w:p>
        </w:tc>
      </w:tr>
      <w:tr>
        <w:tc>
          <w:tcPr>
            <w:tcW w:type="dxa" w:w="17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7"/>
              </w:rPr>
              <w:t>Credito Banca Negocios / PYME</w:t>
            </w:r>
          </w:p>
        </w:tc>
        <w:tc>
          <w:tcPr>
            <w:tcW w:type="dxa" w:w="20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7"/>
              </w:rPr>
              <w:t>Producto para clientes con negocio, RUC, ingresos estimados y destino capital de trabajo.</w:t>
            </w:r>
          </w:p>
        </w:tc>
        <w:tc>
          <w:tcPr>
            <w:tcW w:type="dxa" w:w="34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7"/>
              </w:rPr>
              <w:t>Interbank exige edad 25-70, documentos de participantes, RUC activo y reporte tributario reciente; con propiedad en garantia se menciona acceso hasta S/ 1,000,000 sujeto a evaluacion.</w:t>
            </w:r>
          </w:p>
        </w:tc>
        <w:tc>
          <w:tcPr>
            <w:tcW w:type="dxa" w:w="221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7"/>
              </w:rPr>
              <w:t>Soportar como credito de negocio con evaluacion documental y tasa parametrizada por moneda.</w:t>
            </w:r>
          </w:p>
        </w:tc>
      </w:tr>
      <w:tr>
        <w:tc>
          <w:tcPr>
            <w:tcW w:type="dxa" w:w="17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7"/>
              </w:rPr>
              <w:t>Credito hipotecario tradicional / MiVivienda</w:t>
            </w:r>
          </w:p>
        </w:tc>
        <w:tc>
          <w:tcPr>
            <w:tcW w:type="dxa" w:w="20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7"/>
              </w:rPr>
              <w:t>Simulacion especializada con garantia inmobiliaria.</w:t>
            </w:r>
          </w:p>
        </w:tc>
        <w:tc>
          <w:tcPr>
            <w:tcW w:type="dxa" w:w="34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7"/>
              </w:rPr>
              <w:t>Interbank publica plazos hasta 30 anos en tradicional, financiamiento hasta 90%, cuota inicial minima 10%, seguros y requisitos de ingresos/continuidad laboral. MiVivienda opera de 5 a 25 anos y exige condiciones de vivienda y no propiedad previa.</w:t>
            </w:r>
          </w:p>
        </w:tc>
        <w:tc>
          <w:tcPr>
            <w:tcW w:type="dxa" w:w="221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7"/>
              </w:rPr>
              <w:t>Implementar como simulador sin desembolso automatico; requiere tasacion, seguros, notaria y validacion documental.</w:t>
            </w:r>
          </w:p>
        </w:tc>
      </w:tr>
      <w:tr>
        <w:tc>
          <w:tcPr>
            <w:tcW w:type="dxa" w:w="17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7"/>
              </w:rPr>
              <w:t>Credito vehicular</w:t>
            </w:r>
          </w:p>
        </w:tc>
        <w:tc>
          <w:tcPr>
            <w:tcW w:type="dxa" w:w="20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7"/>
              </w:rPr>
              <w:t>Simulacion de compra tradicional o compra inteligente.</w:t>
            </w:r>
          </w:p>
        </w:tc>
        <w:tc>
          <w:tcPr>
            <w:tcW w:type="dxa" w:w="34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7"/>
              </w:rPr>
              <w:t>El tarifario distingue tradicional y compra inteligente; compra inteligente puede tener cuota balloon de 50% al final del plazo.</w:t>
            </w:r>
          </w:p>
        </w:tc>
        <w:tc>
          <w:tcPr>
            <w:tcW w:type="dxa" w:w="221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7"/>
              </w:rPr>
              <w:t>Implementar calculadora vehicular con seguro vehicular, seguro de desgravamen y comisiones; desembolso requiere garantia/prenda.</w:t>
            </w:r>
          </w:p>
        </w:tc>
      </w:tr>
    </w:tbl>
    <w:p>
      <w:pPr>
        <w:spacing w:before="40" w:after="160"/>
      </w:pPr>
      <w:r>
        <w:rPr>
          <w:rFonts w:ascii="Calibri" w:hAnsi="Calibri"/>
          <w:i/>
          <w:color w:val="5A626E"/>
          <w:sz w:val="18"/>
        </w:rPr>
        <w:t>Fuentes: S2, S4, S6, S7, S8 y S9. Todas consultadas el 02/07/2026.</w:t>
      </w:r>
    </w:p>
    <w:p>
      <w:pPr>
        <w:pStyle w:val="Heading1"/>
        <w:spacing w:after="120" w:line="264" w:lineRule="auto"/>
      </w:pPr>
      <w:r>
        <w:t>4. Tasas utilizadas y parametrizacion</w:t>
      </w:r>
    </w:p>
    <w:p>
      <w:pPr>
        <w:spacing w:after="120" w:line="264" w:lineRule="auto"/>
      </w:pPr>
      <w:r>
        <w:t>Las tasas siguientes deben almacenarse como parametros de negocio, no como constantes en el codigo. Para productos de personas, Interbank publica rangos de TEA o tasas efectivas anuales por producto, moneda, monto y plazo. Para Banca Negocios, el tarifario oficial publica tasa compensatoria nominal anual fija; para usarla en un simulador de cuotas mensuales se documenta una conversion referencial a TEA bajo capitalizacion mensual.</w:t>
      </w:r>
    </w:p>
    <w:tbl>
      <w:tblPr>
        <w:tblW w:type="dxa" w:w="9360"/>
        <w:jc w:val="left"/>
        <w:tblLayout w:type="fixed"/>
        <w:tblLook w:firstColumn="1" w:firstRow="1" w:lastColumn="0" w:lastRow="0" w:noHBand="0" w:noVBand="1" w:val="04A0"/>
        <w:tblLayout w:type="fixed"/>
        <w:tblInd w:w="120" w:type="dxa"/>
      </w:tblPr>
      <w:tblGrid>
        <w:gridCol w:w="1680"/>
        <w:gridCol w:w="900"/>
        <w:gridCol w:w="2450"/>
        <w:gridCol w:w="2100"/>
        <w:gridCol w:w="2230"/>
      </w:tblGrid>
      <w:tr>
        <w:tc>
          <w:tcPr>
            <w:tcW w:type="dxa" w:w="1680"/>
            <w:shd w:fill="F2F4F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pPr>
            <w:r>
              <w:rPr>
                <w:rFonts w:ascii="Calibri" w:hAnsi="Calibri"/>
                <w:b/>
                <w:color w:val="142337"/>
                <w:sz w:val="16"/>
              </w:rPr>
              <w:t>Producto</w:t>
            </w:r>
          </w:p>
        </w:tc>
        <w:tc>
          <w:tcPr>
            <w:tcW w:type="dxa" w:w="900"/>
            <w:shd w:fill="F2F4F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pPr>
            <w:r>
              <w:rPr>
                <w:rFonts w:ascii="Calibri" w:hAnsi="Calibri"/>
                <w:b/>
                <w:color w:val="142337"/>
                <w:sz w:val="16"/>
              </w:rPr>
              <w:t>Moneda</w:t>
            </w:r>
          </w:p>
        </w:tc>
        <w:tc>
          <w:tcPr>
            <w:tcW w:type="dxa" w:w="2450"/>
            <w:shd w:fill="F2F4F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pPr>
            <w:r>
              <w:rPr>
                <w:rFonts w:ascii="Calibri" w:hAnsi="Calibri"/>
                <w:b/>
                <w:color w:val="142337"/>
                <w:sz w:val="16"/>
              </w:rPr>
              <w:t>Tasa oficial publicada</w:t>
            </w:r>
          </w:p>
        </w:tc>
        <w:tc>
          <w:tcPr>
            <w:tcW w:type="dxa" w:w="2100"/>
            <w:shd w:fill="F2F4F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pPr>
            <w:r>
              <w:rPr>
                <w:rFonts w:ascii="Calibri" w:hAnsi="Calibri"/>
                <w:b/>
                <w:color w:val="142337"/>
                <w:sz w:val="16"/>
              </w:rPr>
              <w:t>TEA recomendada para simulador</w:t>
            </w:r>
          </w:p>
        </w:tc>
        <w:tc>
          <w:tcPr>
            <w:tcW w:type="dxa" w:w="2230"/>
            <w:shd w:fill="F2F4F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pPr>
            <w:r>
              <w:rPr>
                <w:rFonts w:ascii="Calibri" w:hAnsi="Calibri"/>
                <w:b/>
                <w:color w:val="142337"/>
                <w:sz w:val="16"/>
              </w:rPr>
              <w:t>Uso en la app</w:t>
            </w:r>
          </w:p>
        </w:tc>
      </w:tr>
      <w:tr>
        <w:tc>
          <w:tcPr>
            <w:tcW w:type="dxa" w:w="168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Prestamo personal</w:t>
            </w:r>
          </w:p>
        </w:tc>
        <w:tc>
          <w:tcPr>
            <w:tcW w:type="dxa" w:w="9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Soles</w:t>
            </w:r>
          </w:p>
        </w:tc>
        <w:tc>
          <w:tcPr>
            <w:tcW w:type="dxa" w:w="24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TEA fija: 8.99% a 99.90%</w:t>
            </w:r>
          </w:p>
        </w:tc>
        <w:tc>
          <w:tcPr>
            <w:tcW w:type="dxa" w:w="21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Usar el rango oficial 8.99%-99.90%</w:t>
            </w:r>
          </w:p>
        </w:tc>
        <w:tc>
          <w:tcPr>
            <w:tcW w:type="dxa" w:w="223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Credito de consumo base; tasa elegida por scoring.</w:t>
            </w:r>
          </w:p>
        </w:tc>
      </w:tr>
      <w:tr>
        <w:tc>
          <w:tcPr>
            <w:tcW w:type="dxa" w:w="168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Prestamo personal</w:t>
            </w:r>
          </w:p>
        </w:tc>
        <w:tc>
          <w:tcPr>
            <w:tcW w:type="dxa" w:w="9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Dolares</w:t>
            </w:r>
          </w:p>
        </w:tc>
        <w:tc>
          <w:tcPr>
            <w:tcW w:type="dxa" w:w="24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TEA fija: 8.99% a 96.00%</w:t>
            </w:r>
          </w:p>
        </w:tc>
        <w:tc>
          <w:tcPr>
            <w:tcW w:type="dxa" w:w="21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Usar el rango oficial 8.99%-96.00%</w:t>
            </w:r>
          </w:p>
        </w:tc>
        <w:tc>
          <w:tcPr>
            <w:tcW w:type="dxa" w:w="223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Solo si la app habilita ME.</w:t>
            </w:r>
          </w:p>
        </w:tc>
      </w:tr>
      <w:tr>
        <w:tc>
          <w:tcPr>
            <w:tcW w:type="dxa" w:w="168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Prestamo con garantia liquida</w:t>
            </w:r>
          </w:p>
        </w:tc>
        <w:tc>
          <w:tcPr>
            <w:tcW w:type="dxa" w:w="9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Soles / dolares</w:t>
            </w:r>
          </w:p>
        </w:tc>
        <w:tc>
          <w:tcPr>
            <w:tcW w:type="dxa" w:w="24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TEA: 6.99%-14.99% MN; 5.99%-11.49% ME</w:t>
            </w:r>
          </w:p>
        </w:tc>
        <w:tc>
          <w:tcPr>
            <w:tcW w:type="dxa" w:w="21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Usar cuando garantia = liquida</w:t>
            </w:r>
          </w:p>
        </w:tc>
        <w:tc>
          <w:tcPr>
            <w:tcW w:type="dxa" w:w="223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Producto de bajo riesgo por respaldo de ahorros/deposito.</w:t>
            </w:r>
          </w:p>
        </w:tc>
      </w:tr>
      <w:tr>
        <w:tc>
          <w:tcPr>
            <w:tcW w:type="dxa" w:w="168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Hipotecario tradicional</w:t>
            </w:r>
          </w:p>
        </w:tc>
        <w:tc>
          <w:tcPr>
            <w:tcW w:type="dxa" w:w="9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Soles</w:t>
            </w:r>
          </w:p>
        </w:tc>
        <w:tc>
          <w:tcPr>
            <w:tcW w:type="dxa" w:w="24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TEA por monto y plazo: desde 7.80% hasta 15.05%</w:t>
            </w:r>
          </w:p>
        </w:tc>
        <w:tc>
          <w:tcPr>
            <w:tcW w:type="dxa" w:w="21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Elegir segun rango de monto y plazo</w:t>
            </w:r>
          </w:p>
        </w:tc>
        <w:tc>
          <w:tcPr>
            <w:tcW w:type="dxa" w:w="223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Simulador hipotecario; no aprobar automaticamente.</w:t>
            </w:r>
          </w:p>
        </w:tc>
      </w:tr>
      <w:tr>
        <w:tc>
          <w:tcPr>
            <w:tcW w:type="dxa" w:w="168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Hipotecario tradicional</w:t>
            </w:r>
          </w:p>
        </w:tc>
        <w:tc>
          <w:tcPr>
            <w:tcW w:type="dxa" w:w="9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Dolares</w:t>
            </w:r>
          </w:p>
        </w:tc>
        <w:tc>
          <w:tcPr>
            <w:tcW w:type="dxa" w:w="24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TEA por monto y plazo: desde 7.80% hasta 12.60%</w:t>
            </w:r>
          </w:p>
        </w:tc>
        <w:tc>
          <w:tcPr>
            <w:tcW w:type="dxa" w:w="21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Elegir segun rango de monto y plazo</w:t>
            </w:r>
          </w:p>
        </w:tc>
        <w:tc>
          <w:tcPr>
            <w:tcW w:type="dxa" w:w="223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Simulador hipotecario en ME.</w:t>
            </w:r>
          </w:p>
        </w:tc>
      </w:tr>
      <w:tr>
        <w:tc>
          <w:tcPr>
            <w:tcW w:type="dxa" w:w="168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Credito vehicular tradicional</w:t>
            </w:r>
          </w:p>
        </w:tc>
        <w:tc>
          <w:tcPr>
            <w:tcW w:type="dxa" w:w="9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Soles / dolares</w:t>
            </w:r>
          </w:p>
        </w:tc>
        <w:tc>
          <w:tcPr>
            <w:tcW w:type="dxa" w:w="24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TEA fija: 14.49% MN; 14.09% ME</w:t>
            </w:r>
          </w:p>
        </w:tc>
        <w:tc>
          <w:tcPr>
            <w:tcW w:type="dxa" w:w="21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Usar tasa unica por modalidad</w:t>
            </w:r>
          </w:p>
        </w:tc>
        <w:tc>
          <w:tcPr>
            <w:tcW w:type="dxa" w:w="223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Simulacion vehicular tradicional.</w:t>
            </w:r>
          </w:p>
        </w:tc>
      </w:tr>
      <w:tr>
        <w:tc>
          <w:tcPr>
            <w:tcW w:type="dxa" w:w="168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Credito vehicular compra inteligente</w:t>
            </w:r>
          </w:p>
        </w:tc>
        <w:tc>
          <w:tcPr>
            <w:tcW w:type="dxa" w:w="9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Soles / dolares</w:t>
            </w:r>
          </w:p>
        </w:tc>
        <w:tc>
          <w:tcPr>
            <w:tcW w:type="dxa" w:w="24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TEA fija: 16.39% MN; 15.99% ME</w:t>
            </w:r>
          </w:p>
        </w:tc>
        <w:tc>
          <w:tcPr>
            <w:tcW w:type="dxa" w:w="21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Usar tasa unica y cuota balloon si aplica</w:t>
            </w:r>
          </w:p>
        </w:tc>
        <w:tc>
          <w:tcPr>
            <w:tcW w:type="dxa" w:w="223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Simulacion con pago final alto.</w:t>
            </w:r>
          </w:p>
        </w:tc>
      </w:tr>
      <w:tr>
        <w:tc>
          <w:tcPr>
            <w:tcW w:type="dxa" w:w="168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Credito Banca Negocios / PYME</w:t>
            </w:r>
          </w:p>
        </w:tc>
        <w:tc>
          <w:tcPr>
            <w:tcW w:type="dxa" w:w="9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Soles</w:t>
            </w:r>
          </w:p>
        </w:tc>
        <w:tc>
          <w:tcPr>
            <w:tcW w:type="dxa" w:w="24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TNA fija: 26.252% a 44.636%</w:t>
            </w:r>
          </w:p>
        </w:tc>
        <w:tc>
          <w:tcPr>
            <w:tcW w:type="dxa" w:w="21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TEA referencial convertida: 29.65% a 55.00%</w:t>
            </w:r>
          </w:p>
        </w:tc>
        <w:tc>
          <w:tcPr>
            <w:tcW w:type="dxa" w:w="223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Credito de negocio/capital de trabajo.</w:t>
            </w:r>
          </w:p>
        </w:tc>
      </w:tr>
      <w:tr>
        <w:tc>
          <w:tcPr>
            <w:tcW w:type="dxa" w:w="168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Credito Banca Negocios / PYME</w:t>
            </w:r>
          </w:p>
        </w:tc>
        <w:tc>
          <w:tcPr>
            <w:tcW w:type="dxa" w:w="9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Dolares</w:t>
            </w:r>
          </w:p>
        </w:tc>
        <w:tc>
          <w:tcPr>
            <w:tcW w:type="dxa" w:w="24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TNA fija: 24.942% a 37.738%</w:t>
            </w:r>
          </w:p>
        </w:tc>
        <w:tc>
          <w:tcPr>
            <w:tcW w:type="dxa" w:w="21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TEA referencial convertida: 28.00% a 45.00%</w:t>
            </w:r>
          </w:p>
        </w:tc>
        <w:tc>
          <w:tcPr>
            <w:tcW w:type="dxa" w:w="223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Solo si se habilita ME.</w:t>
            </w:r>
          </w:p>
        </w:tc>
      </w:tr>
    </w:tbl>
    <w:p>
      <w:pPr>
        <w:spacing w:before="40" w:after="160"/>
      </w:pPr>
      <w:r>
        <w:rPr>
          <w:rFonts w:ascii="Calibri" w:hAnsi="Calibri"/>
          <w:i/>
          <w:color w:val="5A626E"/>
          <w:sz w:val="18"/>
        </w:rPr>
        <w:t>Fuentes: S2, S3, S4 y S5. Para Banca Negocios la conversion referencial usa TEA=(1+TNA/12)^12-1; se debe confirmar con formulas oficiales del producto antes de uso productivo.</w:t>
      </w:r>
    </w:p>
    <w:p>
      <w:pPr>
        <w:spacing w:after="120" w:line="264" w:lineRule="auto"/>
      </w:pPr>
      <w:r>
        <w:t>La SBS publica tasas promedio por tipo de credito y empresa bancaria al 01/07/2026. Esas tasas son referenciales y sirven para validar que el rango elegido no contradiga el mercado, pero la fuente primaria para el precio del producto Interbank debe ser el tarifario del banco. Tambien se reviso la tasa activa de mercado SBS al 01/07/2026: TAMN 16.78% anual y TAMEX 9.43% anual, utiles como referencia macro y no como tasa de producto.</w:t>
      </w:r>
    </w:p>
    <w:p>
      <w:pPr>
        <w:spacing w:before="40" w:after="160"/>
      </w:pPr>
      <w:r>
        <w:rPr>
          <w:rFonts w:ascii="Calibri" w:hAnsi="Calibri"/>
          <w:i/>
          <w:color w:val="5A626E"/>
          <w:sz w:val="18"/>
        </w:rPr>
        <w:t>Fuentes: S11 y S12, consultadas el 02/07/2026.</w:t>
      </w:r>
    </w:p>
    <w:p>
      <w:pPr>
        <w:pStyle w:val="Heading1"/>
        <w:spacing w:after="120" w:line="264" w:lineRule="auto"/>
      </w:pPr>
      <w:r>
        <w:t>5. Distribucion de cartera y justificacion de prioridad</w:t>
      </w:r>
    </w:p>
    <w:p>
      <w:pPr>
        <w:spacing w:after="120" w:line="264" w:lineRule="auto"/>
      </w:pPr>
      <w:r>
        <w:t>La Memoria Anual 2025 de Interbank reporta colocaciones brutas por S/ 50,390.6 millones y creditos vigentes por S/ 48,688.2 millones al cierre de 2025. Dentro de los creditos vigentes, la cartera de personas representa S/ 25,537.2 millones y la cartera comercial S/ 23,151.1 millones. Esto justifica que una app academica priorice personas/consumo sin dejar fuera el caso de negocio/PYME.</w:t>
      </w:r>
    </w:p>
    <w:tbl>
      <w:tblPr>
        <w:tblW w:type="dxa" w:w="9360"/>
        <w:jc w:val="left"/>
        <w:tblLayout w:type="fixed"/>
        <w:tblLook w:firstColumn="1" w:firstRow="1" w:lastColumn="0" w:lastRow="0" w:noHBand="0" w:noVBand="1" w:val="04A0"/>
        <w:tblLayout w:type="fixed"/>
        <w:tblInd w:w="120" w:type="dxa"/>
      </w:tblPr>
      <w:tblGrid>
        <w:gridCol w:w="2600"/>
        <w:gridCol w:w="1700"/>
        <w:gridCol w:w="1700"/>
        <w:gridCol w:w="3360"/>
      </w:tblGrid>
      <w:tr>
        <w:tc>
          <w:tcPr>
            <w:tcW w:type="dxa" w:w="2600"/>
            <w:shd w:fill="F2F4F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pPr>
            <w:r>
              <w:rPr>
                <w:rFonts w:ascii="Calibri" w:hAnsi="Calibri"/>
                <w:b/>
                <w:color w:val="142337"/>
                <w:sz w:val="17"/>
              </w:rPr>
              <w:t>Categoria de cartera</w:t>
            </w:r>
          </w:p>
        </w:tc>
        <w:tc>
          <w:tcPr>
            <w:tcW w:type="dxa" w:w="1700"/>
            <w:shd w:fill="F2F4F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pPr>
            <w:r>
              <w:rPr>
                <w:rFonts w:ascii="Calibri" w:hAnsi="Calibri"/>
                <w:b/>
                <w:color w:val="142337"/>
                <w:sz w:val="17"/>
              </w:rPr>
              <w:t>Saldo 2025 (S/ millones)</w:t>
            </w:r>
          </w:p>
        </w:tc>
        <w:tc>
          <w:tcPr>
            <w:tcW w:type="dxa" w:w="1700"/>
            <w:shd w:fill="F2F4F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pPr>
            <w:r>
              <w:rPr>
                <w:rFonts w:ascii="Calibri" w:hAnsi="Calibri"/>
                <w:b/>
                <w:color w:val="142337"/>
                <w:sz w:val="17"/>
              </w:rPr>
              <w:t>% sobre creditos vigentes</w:t>
            </w:r>
          </w:p>
        </w:tc>
        <w:tc>
          <w:tcPr>
            <w:tcW w:type="dxa" w:w="3360"/>
            <w:shd w:fill="F2F4F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pPr>
            <w:r>
              <w:rPr>
                <w:rFonts w:ascii="Calibri" w:hAnsi="Calibri"/>
                <w:b/>
                <w:color w:val="142337"/>
                <w:sz w:val="17"/>
              </w:rPr>
              <w:t>Lectura para la app</w:t>
            </w:r>
          </w:p>
        </w:tc>
      </w:tr>
      <w:tr>
        <w:tc>
          <w:tcPr>
            <w:tcW w:type="dxa" w:w="26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7"/>
              </w:rPr>
              <w:t>Personas</w:t>
            </w:r>
          </w:p>
        </w:tc>
        <w:tc>
          <w:tcPr>
            <w:tcW w:type="dxa" w:w="17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7"/>
              </w:rPr>
              <w:t>25,537.2</w:t>
            </w:r>
          </w:p>
        </w:tc>
        <w:tc>
          <w:tcPr>
            <w:tcW w:type="dxa" w:w="17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7"/>
              </w:rPr>
              <w:t>52.45%</w:t>
            </w:r>
          </w:p>
        </w:tc>
        <w:tc>
          <w:tcPr>
            <w:tcW w:type="dxa" w:w="33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7"/>
              </w:rPr>
              <w:t>Debe ser el frente principal: consumo, convenios, otros prestamos e hipotecario.</w:t>
            </w:r>
          </w:p>
        </w:tc>
      </w:tr>
      <w:tr>
        <w:tc>
          <w:tcPr>
            <w:tcW w:type="dxa" w:w="26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7"/>
              </w:rPr>
              <w:t>Comercial</w:t>
            </w:r>
          </w:p>
        </w:tc>
        <w:tc>
          <w:tcPr>
            <w:tcW w:type="dxa" w:w="17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7"/>
              </w:rPr>
              <w:t>23,151.1</w:t>
            </w:r>
          </w:p>
        </w:tc>
        <w:tc>
          <w:tcPr>
            <w:tcW w:type="dxa" w:w="17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7"/>
              </w:rPr>
              <w:t>47.55%</w:t>
            </w:r>
          </w:p>
        </w:tc>
        <w:tc>
          <w:tcPr>
            <w:tcW w:type="dxa" w:w="33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7"/>
              </w:rPr>
              <w:t>Justifica incluir credito de negocio/PYME como segundo modulo.</w:t>
            </w:r>
          </w:p>
        </w:tc>
      </w:tr>
      <w:tr>
        <w:tc>
          <w:tcPr>
            <w:tcW w:type="dxa" w:w="26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7"/>
              </w:rPr>
              <w:t>Total creditos vigentes</w:t>
            </w:r>
          </w:p>
        </w:tc>
        <w:tc>
          <w:tcPr>
            <w:tcW w:type="dxa" w:w="17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7"/>
              </w:rPr>
              <w:t>48,688.2</w:t>
            </w:r>
          </w:p>
        </w:tc>
        <w:tc>
          <w:tcPr>
            <w:tcW w:type="dxa" w:w="17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7"/>
              </w:rPr>
              <w:t>100.00%</w:t>
            </w:r>
          </w:p>
        </w:tc>
        <w:tc>
          <w:tcPr>
            <w:tcW w:type="dxa" w:w="33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7"/>
              </w:rPr>
              <w:t>Base para dimensionar el prototipo.</w:t>
            </w:r>
          </w:p>
        </w:tc>
      </w:tr>
    </w:tbl>
    <w:p>
      <w:pPr>
        <w:spacing w:before="40" w:after="160"/>
      </w:pPr>
      <w:r>
        <w:rPr>
          <w:rFonts w:ascii="Calibri" w:hAnsi="Calibri"/>
          <w:i/>
          <w:color w:val="5A626E"/>
          <w:sz w:val="18"/>
        </w:rPr>
        <w:t>Fuente: S10, Memoria Anual 2025 de Interbank, pagina 42. Calculos propios sobre creditos vigentes. Consultado el 02/07/2026.</w:t>
      </w:r>
    </w:p>
    <w:tbl>
      <w:tblPr>
        <w:tblW w:type="dxa" w:w="9360"/>
        <w:jc w:val="left"/>
        <w:tblLayout w:type="fixed"/>
        <w:tblLook w:firstColumn="1" w:firstRow="1" w:lastColumn="0" w:lastRow="0" w:noHBand="0" w:noVBand="1" w:val="04A0"/>
        <w:tblLayout w:type="fixed"/>
        <w:tblInd w:w="120" w:type="dxa"/>
      </w:tblPr>
      <w:tblGrid>
        <w:gridCol w:w="2400"/>
        <w:gridCol w:w="1350"/>
        <w:gridCol w:w="1350"/>
        <w:gridCol w:w="1450"/>
        <w:gridCol w:w="2810"/>
      </w:tblGrid>
      <w:tr>
        <w:tc>
          <w:tcPr>
            <w:tcW w:type="dxa" w:w="2400"/>
            <w:shd w:fill="F2F4F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pPr>
            <w:r>
              <w:rPr>
                <w:rFonts w:ascii="Calibri" w:hAnsi="Calibri"/>
                <w:b/>
                <w:color w:val="142337"/>
                <w:sz w:val="16"/>
              </w:rPr>
              <w:t>Detalle cartera personas 2025</w:t>
            </w:r>
          </w:p>
        </w:tc>
        <w:tc>
          <w:tcPr>
            <w:tcW w:type="dxa" w:w="1350"/>
            <w:shd w:fill="F2F4F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pPr>
            <w:r>
              <w:rPr>
                <w:rFonts w:ascii="Calibri" w:hAnsi="Calibri"/>
                <w:b/>
                <w:color w:val="142337"/>
                <w:sz w:val="16"/>
              </w:rPr>
              <w:t>Saldo (S/ millones)</w:t>
            </w:r>
          </w:p>
        </w:tc>
        <w:tc>
          <w:tcPr>
            <w:tcW w:type="dxa" w:w="1350"/>
            <w:shd w:fill="F2F4F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pPr>
            <w:r>
              <w:rPr>
                <w:rFonts w:ascii="Calibri" w:hAnsi="Calibri"/>
                <w:b/>
                <w:color w:val="142337"/>
                <w:sz w:val="16"/>
              </w:rPr>
              <w:t>% sobre cartera personas</w:t>
            </w:r>
          </w:p>
        </w:tc>
        <w:tc>
          <w:tcPr>
            <w:tcW w:type="dxa" w:w="1450"/>
            <w:shd w:fill="F2F4F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pPr>
            <w:r>
              <w:rPr>
                <w:rFonts w:ascii="Calibri" w:hAnsi="Calibri"/>
                <w:b/>
                <w:color w:val="142337"/>
                <w:sz w:val="16"/>
              </w:rPr>
              <w:t>% sobre creditos vigentes</w:t>
            </w:r>
          </w:p>
        </w:tc>
        <w:tc>
          <w:tcPr>
            <w:tcW w:type="dxa" w:w="2810"/>
            <w:shd w:fill="F2F4F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pPr>
            <w:r>
              <w:rPr>
                <w:rFonts w:ascii="Calibri" w:hAnsi="Calibri"/>
                <w:b/>
                <w:color w:val="142337"/>
                <w:sz w:val="16"/>
              </w:rPr>
              <w:t>Implicancia</w:t>
            </w:r>
          </w:p>
        </w:tc>
      </w:tr>
      <w:tr>
        <w:tc>
          <w:tcPr>
            <w:tcW w:type="dxa" w:w="24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Consumo total</w:t>
            </w:r>
          </w:p>
        </w:tc>
        <w:tc>
          <w:tcPr>
            <w:tcW w:type="dxa" w:w="13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14,497.9</w:t>
            </w:r>
          </w:p>
        </w:tc>
        <w:tc>
          <w:tcPr>
            <w:tcW w:type="dxa" w:w="13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56.77%</w:t>
            </w:r>
          </w:p>
        </w:tc>
        <w:tc>
          <w:tcPr>
            <w:tcW w:type="dxa" w:w="14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29.78%</w:t>
            </w:r>
          </w:p>
        </w:tc>
        <w:tc>
          <w:tcPr>
            <w:tcW w:type="dxa" w:w="281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Producto natural para app movil por monto, plazo y flujo digital.</w:t>
            </w:r>
          </w:p>
        </w:tc>
      </w:tr>
      <w:tr>
        <w:tc>
          <w:tcPr>
            <w:tcW w:type="dxa" w:w="24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Hipotecarios</w:t>
            </w:r>
          </w:p>
        </w:tc>
        <w:tc>
          <w:tcPr>
            <w:tcW w:type="dxa" w:w="13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11,039.3</w:t>
            </w:r>
          </w:p>
        </w:tc>
        <w:tc>
          <w:tcPr>
            <w:tcW w:type="dxa" w:w="13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43.23%</w:t>
            </w:r>
          </w:p>
        </w:tc>
        <w:tc>
          <w:tcPr>
            <w:tcW w:type="dxa" w:w="14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22.67%</w:t>
            </w:r>
          </w:p>
        </w:tc>
        <w:tc>
          <w:tcPr>
            <w:tcW w:type="dxa" w:w="281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Relevante por volumen, pero requiere flujo documental/generacion de garantias.</w:t>
            </w:r>
          </w:p>
        </w:tc>
      </w:tr>
      <w:tr>
        <w:tc>
          <w:tcPr>
            <w:tcW w:type="dxa" w:w="24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Tarjetas de credito</w:t>
            </w:r>
          </w:p>
        </w:tc>
        <w:tc>
          <w:tcPr>
            <w:tcW w:type="dxa" w:w="13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2,906.7</w:t>
            </w:r>
          </w:p>
        </w:tc>
        <w:tc>
          <w:tcPr>
            <w:tcW w:type="dxa" w:w="13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11.38%</w:t>
            </w:r>
          </w:p>
        </w:tc>
        <w:tc>
          <w:tcPr>
            <w:tcW w:type="dxa" w:w="14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5.97%</w:t>
            </w:r>
          </w:p>
        </w:tc>
        <w:tc>
          <w:tcPr>
            <w:tcW w:type="dxa" w:w="281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No priorizar si el proyecto se centra en prestamos a cuotas.</w:t>
            </w:r>
          </w:p>
        </w:tc>
      </w:tr>
      <w:tr>
        <w:tc>
          <w:tcPr>
            <w:tcW w:type="dxa" w:w="24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Prestamos - ex tarjetas de credito</w:t>
            </w:r>
          </w:p>
        </w:tc>
        <w:tc>
          <w:tcPr>
            <w:tcW w:type="dxa" w:w="13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2,665.1</w:t>
            </w:r>
          </w:p>
        </w:tc>
        <w:tc>
          <w:tcPr>
            <w:tcW w:type="dxa" w:w="13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10.44%</w:t>
            </w:r>
          </w:p>
        </w:tc>
        <w:tc>
          <w:tcPr>
            <w:tcW w:type="dxa" w:w="14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5.47%</w:t>
            </w:r>
          </w:p>
        </w:tc>
        <w:tc>
          <w:tcPr>
            <w:tcW w:type="dxa" w:w="281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Producto directamente alineado al prestamo personal de la app.</w:t>
            </w:r>
          </w:p>
        </w:tc>
      </w:tr>
      <w:tr>
        <w:tc>
          <w:tcPr>
            <w:tcW w:type="dxa" w:w="24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Convenios</w:t>
            </w:r>
          </w:p>
        </w:tc>
        <w:tc>
          <w:tcPr>
            <w:tcW w:type="dxa" w:w="13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5,581.8</w:t>
            </w:r>
          </w:p>
        </w:tc>
        <w:tc>
          <w:tcPr>
            <w:tcW w:type="dxa" w:w="13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21.86%</w:t>
            </w:r>
          </w:p>
        </w:tc>
        <w:tc>
          <w:tcPr>
            <w:tcW w:type="dxa" w:w="14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11.46%</w:t>
            </w:r>
          </w:p>
        </w:tc>
        <w:tc>
          <w:tcPr>
            <w:tcW w:type="dxa" w:w="281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Puede modelarse como subproducto con descuento por planilla.</w:t>
            </w:r>
          </w:p>
        </w:tc>
      </w:tr>
      <w:tr>
        <w:tc>
          <w:tcPr>
            <w:tcW w:type="dxa" w:w="24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Otros prestamos de consumo</w:t>
            </w:r>
          </w:p>
        </w:tc>
        <w:tc>
          <w:tcPr>
            <w:tcW w:type="dxa" w:w="13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3,344.3</w:t>
            </w:r>
          </w:p>
        </w:tc>
        <w:tc>
          <w:tcPr>
            <w:tcW w:type="dxa" w:w="13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13.10%</w:t>
            </w:r>
          </w:p>
        </w:tc>
        <w:tc>
          <w:tcPr>
            <w:tcW w:type="dxa" w:w="14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6.87%</w:t>
            </w:r>
          </w:p>
        </w:tc>
        <w:tc>
          <w:tcPr>
            <w:tcW w:type="dxa" w:w="281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Agrupa casos especiales; usar solo como categoria generica.</w:t>
            </w:r>
          </w:p>
        </w:tc>
      </w:tr>
    </w:tbl>
    <w:p>
      <w:pPr>
        <w:spacing w:before="40" w:after="160"/>
      </w:pPr>
      <w:r>
        <w:rPr>
          <w:rFonts w:ascii="Calibri" w:hAnsi="Calibri"/>
          <w:i/>
          <w:color w:val="5A626E"/>
          <w:sz w:val="18"/>
        </w:rPr>
        <w:t>Fuente: S10, Memoria Anual 2025 de Interbank, pagina 43. Calculos propios. Consultado el 02/07/2026.</w:t>
      </w:r>
    </w:p>
    <w:p>
      <w:pPr>
        <w:spacing w:after="120" w:line="264" w:lineRule="auto"/>
      </w:pPr>
      <w:r>
        <w:t>Decision de negocio: el MVP debe enfocarse en prestamo personal/consumo y credito de negocio. Hipotecario y vehicular pueden existir como simuladores porque mejoran la cobertura academica, pero no deberian compartir el mismo flujo de aprobacion automatica, ya que dependen de garantias, tasaciones, seguros, documentos notariales/registrales y politicas de riesgo mas complejas.</w:t>
      </w:r>
    </w:p>
    <w:p>
      <w:pPr>
        <w:pStyle w:val="Heading1"/>
        <w:spacing w:after="120" w:line="264" w:lineRule="auto"/>
      </w:pPr>
      <w:r>
        <w:t>6. Datos oficiales adicionales requeridos</w:t>
      </w:r>
    </w:p>
    <w:p>
      <w:pPr>
        <w:spacing w:after="120" w:line="264" w:lineRule="auto"/>
      </w:pPr>
      <w:r>
        <w:t>Para que el sistema funcione de forma realista, las tablas maestras deberian alimentarse de fuentes oficiales y conservar fecha de consulta/vigencia. La siguiente matriz separa lo que ya puede parametrizarse de lo que debe obtenerse antes de convertir el prototipo en una simulacion mas rigurosa.</w:t>
      </w:r>
    </w:p>
    <w:tbl>
      <w:tblPr>
        <w:tblW w:type="dxa" w:w="9360"/>
        <w:jc w:val="left"/>
        <w:tblLayout w:type="fixed"/>
        <w:tblLook w:firstColumn="1" w:firstRow="1" w:lastColumn="0" w:lastRow="0" w:noHBand="0" w:noVBand="1" w:val="04A0"/>
        <w:tblLayout w:type="fixed"/>
        <w:tblInd w:w="120" w:type="dxa"/>
      </w:tblPr>
      <w:tblGrid>
        <w:gridCol w:w="1900"/>
        <w:gridCol w:w="2100"/>
        <w:gridCol w:w="2650"/>
        <w:gridCol w:w="2710"/>
      </w:tblGrid>
      <w:tr>
        <w:tc>
          <w:tcPr>
            <w:tcW w:type="dxa" w:w="1900"/>
            <w:shd w:fill="F2F4F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pPr>
            <w:r>
              <w:rPr>
                <w:rFonts w:ascii="Calibri" w:hAnsi="Calibri"/>
                <w:b/>
                <w:color w:val="142337"/>
                <w:sz w:val="16"/>
              </w:rPr>
              <w:t>Dato requerido</w:t>
            </w:r>
          </w:p>
        </w:tc>
        <w:tc>
          <w:tcPr>
            <w:tcW w:type="dxa" w:w="2100"/>
            <w:shd w:fill="F2F4F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pPr>
            <w:r>
              <w:rPr>
                <w:rFonts w:ascii="Calibri" w:hAnsi="Calibri"/>
                <w:b/>
                <w:color w:val="142337"/>
                <w:sz w:val="16"/>
              </w:rPr>
              <w:t>Uso funcional</w:t>
            </w:r>
          </w:p>
        </w:tc>
        <w:tc>
          <w:tcPr>
            <w:tcW w:type="dxa" w:w="2650"/>
            <w:shd w:fill="F2F4F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pPr>
            <w:r>
              <w:rPr>
                <w:rFonts w:ascii="Calibri" w:hAnsi="Calibri"/>
                <w:b/>
                <w:color w:val="142337"/>
                <w:sz w:val="16"/>
              </w:rPr>
              <w:t>Fuente oficial sugerida</w:t>
            </w:r>
          </w:p>
        </w:tc>
        <w:tc>
          <w:tcPr>
            <w:tcW w:type="dxa" w:w="2710"/>
            <w:shd w:fill="F2F4F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pPr>
            <w:r>
              <w:rPr>
                <w:rFonts w:ascii="Calibri" w:hAnsi="Calibri"/>
                <w:b/>
                <w:color w:val="142337"/>
                <w:sz w:val="16"/>
              </w:rPr>
              <w:t>Estado para el proyecto</w:t>
            </w:r>
          </w:p>
        </w:tc>
      </w:tr>
      <w:tr>
        <w:tc>
          <w:tcPr>
            <w:tcW w:type="dxa" w:w="19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Rangos de TEA/TNA por producto, moneda, monto y plazo</w:t>
            </w:r>
          </w:p>
        </w:tc>
        <w:tc>
          <w:tcPr>
            <w:tcW w:type="dxa" w:w="21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Calculo de cuota, cronograma y validacion de tasa ingresada.</w:t>
            </w:r>
          </w:p>
        </w:tc>
        <w:tc>
          <w:tcPr>
            <w:tcW w:type="dxa" w:w="26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Tarifarios Interbank y, como contraste, SBS tasas por tipo de credito.</w:t>
            </w:r>
          </w:p>
        </w:tc>
        <w:tc>
          <w:tcPr>
            <w:tcW w:type="dxa" w:w="271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Disponible para productos principales; actualizar antes de sustentar.</w:t>
            </w:r>
          </w:p>
        </w:tc>
      </w:tr>
      <w:tr>
        <w:tc>
          <w:tcPr>
            <w:tcW w:type="dxa" w:w="19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Montos minimos/maximos y plazos</w:t>
            </w:r>
          </w:p>
        </w:tc>
        <w:tc>
          <w:tcPr>
            <w:tcW w:type="dxa" w:w="21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Validar simulacion y solicitud.</w:t>
            </w:r>
          </w:p>
        </w:tc>
        <w:tc>
          <w:tcPr>
            <w:tcW w:type="dxa" w:w="26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Paginas oficiales de producto Interbank y hojas resumen/modelos contractuales.</w:t>
            </w:r>
          </w:p>
        </w:tc>
        <w:tc>
          <w:tcPr>
            <w:tcW w:type="dxa" w:w="271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Disponible para prestamo personal, hipotecario y negocio; vehicular requiere completar plazo oficial por modalidad.</w:t>
            </w:r>
          </w:p>
        </w:tc>
      </w:tr>
      <w:tr>
        <w:tc>
          <w:tcPr>
            <w:tcW w:type="dxa" w:w="19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Comisiones, gastos, ITF y seguros</w:t>
            </w:r>
          </w:p>
        </w:tc>
        <w:tc>
          <w:tcPr>
            <w:tcW w:type="dxa" w:w="21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Calculo de TCEA, total financiado y costo real.</w:t>
            </w:r>
          </w:p>
        </w:tc>
        <w:tc>
          <w:tcPr>
            <w:tcW w:type="dxa" w:w="26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Tarifarios Interbank por producto, certificados de seguro y hojas resumen.</w:t>
            </w:r>
          </w:p>
        </w:tc>
        <w:tc>
          <w:tcPr>
            <w:tcW w:type="dxa" w:w="271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Disponible como referencia; implementar en app como componentes separados.</w:t>
            </w:r>
          </w:p>
        </w:tc>
      </w:tr>
      <w:tr>
        <w:tc>
          <w:tcPr>
            <w:tcW w:type="dxa" w:w="19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Elegibilidad documental</w:t>
            </w:r>
          </w:p>
        </w:tc>
        <w:tc>
          <w:tcPr>
            <w:tcW w:type="dxa" w:w="21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Checklist de expediente y validacion previa a comite.</w:t>
            </w:r>
          </w:p>
        </w:tc>
        <w:tc>
          <w:tcPr>
            <w:tcW w:type="dxa" w:w="26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Paginas oficiales Interbank: Prestamo Personal, Hipotecario, MiVivienda, Capital de Trabajo.</w:t>
            </w:r>
          </w:p>
        </w:tc>
        <w:tc>
          <w:tcPr>
            <w:tcW w:type="dxa" w:w="271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Debe convertirse en reglas de formulario.</w:t>
            </w:r>
          </w:p>
        </w:tc>
      </w:tr>
      <w:tr>
        <w:tc>
          <w:tcPr>
            <w:tcW w:type="dxa" w:w="19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Scoring y politica de admision</w:t>
            </w:r>
          </w:p>
        </w:tc>
        <w:tc>
          <w:tcPr>
            <w:tcW w:type="dxa" w:w="21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Determinar APTO/REVISAR/NO_PROCEDE y tasa asignada.</w:t>
            </w:r>
          </w:p>
        </w:tc>
        <w:tc>
          <w:tcPr>
            <w:tcW w:type="dxa" w:w="26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Politicas internas no publicas; usar SBS Central de Riesgos y reglamento SBS como referencia academica.</w:t>
            </w:r>
          </w:p>
        </w:tc>
        <w:tc>
          <w:tcPr>
            <w:tcW w:type="dxa" w:w="271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No disponible publicamente; mantener como regla simulada declarada.</w:t>
            </w:r>
          </w:p>
        </w:tc>
      </w:tr>
      <w:tr>
        <w:tc>
          <w:tcPr>
            <w:tcW w:type="dxa" w:w="19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Mora por segmento y calificacion del deudor</w:t>
            </w:r>
          </w:p>
        </w:tc>
        <w:tc>
          <w:tcPr>
            <w:tcW w:type="dxa" w:w="21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Priorizacion de cartera, alertas y provision academica.</w:t>
            </w:r>
          </w:p>
        </w:tc>
        <w:tc>
          <w:tcPr>
            <w:tcW w:type="dxa" w:w="26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SBS: morosidad por tipo de credito y modalidad; Reglamento SBS de evaluacion y clasificacion del deudor.</w:t>
            </w:r>
          </w:p>
        </w:tc>
        <w:tc>
          <w:tcPr>
            <w:tcW w:type="dxa" w:w="271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Pendiente de integracion; usar solo fuente SBS.</w:t>
            </w:r>
          </w:p>
        </w:tc>
      </w:tr>
      <w:tr>
        <w:tc>
          <w:tcPr>
            <w:tcW w:type="dxa" w:w="19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Distribucion de cartera por producto</w:t>
            </w:r>
          </w:p>
        </w:tc>
        <w:tc>
          <w:tcPr>
            <w:tcW w:type="dxa" w:w="21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Justificar prioridad funcional y dimensionar caso de negocio.</w:t>
            </w:r>
          </w:p>
        </w:tc>
        <w:tc>
          <w:tcPr>
            <w:tcW w:type="dxa" w:w="26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Memoria Anual Interbank, EEFF auditados e informes IFS.</w:t>
            </w:r>
          </w:p>
        </w:tc>
        <w:tc>
          <w:tcPr>
            <w:tcW w:type="dxa" w:w="271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Disponible con Memoria Anual 2025.</w:t>
            </w:r>
          </w:p>
        </w:tc>
      </w:tr>
      <w:tr>
        <w:tc>
          <w:tcPr>
            <w:tcW w:type="dxa" w:w="19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Garantias, tasaciones y registros</w:t>
            </w:r>
          </w:p>
        </w:tc>
        <w:tc>
          <w:tcPr>
            <w:tcW w:type="dxa" w:w="21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Hipotecario, vehicular y negocio con garantia.</w:t>
            </w:r>
          </w:p>
        </w:tc>
        <w:tc>
          <w:tcPr>
            <w:tcW w:type="dxa" w:w="265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Tarifarios Interbank, paginas de producto y documentos notariales/registrales asociados.</w:t>
            </w:r>
          </w:p>
        </w:tc>
        <w:tc>
          <w:tcPr>
            <w:tcW w:type="dxa" w:w="271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spacing w:after="0" w:line="252" w:lineRule="auto"/>
            </w:pPr>
            <w:r>
              <w:rPr>
                <w:rFonts w:ascii="Calibri" w:hAnsi="Calibri"/>
                <w:color w:val="191919"/>
                <w:sz w:val="16"/>
              </w:rPr>
              <w:t>Debe modelarse como prerequisito, no como desembolso automatico.</w:t>
            </w:r>
          </w:p>
        </w:tc>
      </w:tr>
    </w:tbl>
    <w:p>
      <w:pPr>
        <w:spacing w:before="40" w:after="160"/>
      </w:pPr>
      <w:r>
        <w:rPr>
          <w:rFonts w:ascii="Calibri" w:hAnsi="Calibri"/>
          <w:i/>
          <w:color w:val="5A626E"/>
          <w:sz w:val="18"/>
        </w:rPr>
        <w:t>Fuentes: S1-S13, consultadas el 02/07/2026.</w:t>
      </w:r>
    </w:p>
    <w:p>
      <w:pPr>
        <w:pStyle w:val="Heading1"/>
        <w:spacing w:after="120" w:line="264" w:lineRule="auto"/>
      </w:pPr>
      <w:r>
        <w:t>7. Recomendaciones para la implementacion tecnica</w:t>
      </w:r>
    </w:p>
    <w:p>
      <w:pPr>
        <w:pStyle w:val="ListBullet"/>
        <w:spacing w:after="80" w:line="280" w:lineRule="auto"/>
      </w:pPr>
      <w:r>
        <w:t>Crear una tabla tasas_producto con producto, subproducto, moneda, tasa_min, tasa_max, tipo_tasa, fuente_url, fecha_vigencia y fecha_consulta.</w:t>
      </w:r>
    </w:p>
    <w:p>
      <w:pPr>
        <w:pStyle w:val="ListBullet"/>
        <w:spacing w:after="80" w:line="280" w:lineRule="auto"/>
      </w:pPr>
      <w:r>
        <w:t>Crear una tabla reglas_producto con monto_min, monto_max, plazo_min, plazo_max, garantia_requerida, seguro_desgravamen, seguro_bien y comisiones aplicables.</w:t>
      </w:r>
    </w:p>
    <w:p>
      <w:pPr>
        <w:pStyle w:val="ListBullet"/>
        <w:spacing w:after="80" w:line="280" w:lineRule="auto"/>
      </w:pPr>
      <w:r>
        <w:t>Guardar en cada solicitud la fuente de la tasa usada. Esto permite explicar por que una cuota fue calculada con una TEA determinada.</w:t>
      </w:r>
    </w:p>
    <w:p>
      <w:pPr>
        <w:pStyle w:val="ListBullet"/>
        <w:spacing w:after="80" w:line="280" w:lineRule="auto"/>
      </w:pPr>
      <w:r>
        <w:t>Mantener la preevaluacion actual como regla academica, pero rotularla como simulada. Para realismo, agregar variables de deuda vigente, mora SBS, gastos mensuales y patrimonio.</w:t>
      </w:r>
    </w:p>
    <w:p>
      <w:pPr>
        <w:pStyle w:val="ListBullet"/>
        <w:spacing w:after="80" w:line="280" w:lineRule="auto"/>
      </w:pPr>
      <w:r>
        <w:t>Para credito de negocio, agregar RUC, reporte tributario, antiguedad del negocio, ventas mensuales, margen estimado y destino de fondos.</w:t>
      </w:r>
    </w:p>
    <w:p>
      <w:pPr>
        <w:pStyle w:val="ListBullet"/>
        <w:spacing w:after="80" w:line="280" w:lineRule="auto"/>
      </w:pPr>
      <w:r>
        <w:t>Para hipotecario y vehicular, separar el simulador del desembolso. La aprobacion debe quedar condicionada a tasacion, validacion de garantia, seguro y documentos registrales.</w:t>
      </w:r>
    </w:p>
    <w:p>
      <w:pPr>
        <w:pStyle w:val="Heading1"/>
        <w:spacing w:after="120" w:line="264" w:lineRule="auto"/>
      </w:pPr>
      <w:r>
        <w:t>8. Limitaciones y supuestos declarados</w:t>
      </w:r>
    </w:p>
    <w:p>
      <w:pPr>
        <w:spacing w:after="120" w:line="264" w:lineRule="auto"/>
      </w:pPr>
      <w:r>
        <w:t>Este informe usa fuentes oficiales publicas. No accede a politicas internas de Interbank, modelos propietarios de scoring, curvas internas de pricing, criterios de excepcion, data individual de clientes ni aprobaciones reales. Por ello, las reglas de preevaluacion del prototipo deben presentarse como reglas academicas, no como politica crediticia real del banco.</w:t>
      </w:r>
    </w:p>
    <w:p>
      <w:pPr>
        <w:spacing w:after="120" w:line="264" w:lineRule="auto"/>
      </w:pPr>
      <w:r>
        <w:t>Las tasas de Interbank son rangos sujetos a evaluacion crediticia, campanas, comportamiento del cliente y condiciones de mercado. En consecuencia, una simulacion realista debe mostrar la cuota como referencial hasta que exista evaluacion final y hoja resumen del credito.</w:t>
      </w:r>
    </w:p>
    <w:p>
      <w:pPr>
        <w:pStyle w:val="Heading1"/>
      </w:pPr>
      <w:r>
        <w:t>9. Validacion contra la implementacion</w:t>
      </w:r>
    </w:p>
    <w:p>
      <w:pPr>
        <w:spacing w:after="120" w:line="264" w:lineRule="auto"/>
      </w:pPr>
      <w:r>
        <w:t>Se reviso el backend FastAPI y las pantallas Flutter de cliente y fuerza de ventas. La aplicacion tenia una TEA fija de 32% en varios puntos; ese valor se conserva como tasa referencial porque cae dentro del rango oficial convertido para Credito Banca Negocios / PYME (29.65% a 55.00%), pero ahora queda centralizado como politica de credito y no como numero aislado.</w:t>
      </w:r>
    </w:p>
    <w:p>
      <w:pPr>
        <w:spacing w:after="120" w:line="264" w:lineRule="auto"/>
      </w:pPr>
      <w:r>
        <w:t>Validaciones incorporadas: el backend valida monto, plazo y TEA contra la politica del producto inferido; las solicitudes de capital de trabajo usan el rango Banca Negocios / PYME; las solicitudes personales quedan sujetas al rango de Prestamo Personal (S/ 1,000 a S/ 60,000, plazo 6 a 60 meses, TEA 8.99% a 99.90%).</w:t>
      </w:r>
    </w:p>
    <w:p>
      <w:pPr>
        <w:spacing w:after="120" w:line="264" w:lineRule="auto"/>
      </w:pPr>
      <w:r>
        <w:t>Calculo corregido: la cuota estimada ya no se calcula como monto dividido entre plazo ni con tasa nominal mensual simple; se usa TEM = (1 + TEA)^(1/12) - 1 y formula francesa de cuota. Para S/ 12,000 a 12 meses con TEA 32%, la cuota referencial validada es S/ 1,158.58.</w:t>
      </w:r>
    </w:p>
    <w:p>
      <w:pPr>
        <w:spacing w:after="120" w:line="264" w:lineRule="auto"/>
      </w:pPr>
      <w:r>
        <w:t>Datos demo: el seed de cliente fue ajustado para mostrar un Prestamo Personal de S/ 36,000, 60 cuotas y TEA 12.49%, dentro de los rangos oficiales usados en el informe.</w:t>
      </w:r>
    </w:p>
    <w:p>
      <w:pPr>
        <w:spacing w:after="120" w:line="264" w:lineRule="auto"/>
      </w:pPr>
      <w:r>
        <w:t>Resultado de verificacion tecnica: Python compilo los modulos modificados; Flutter analyze no reporto errores nuevos de compilacion, aunque el proyecto conserva advertencias previas por widgets/metodos no referenciados en sales_home_page.dart.</w:t>
      </w:r>
    </w:p>
    <w:p>
      <w:pPr>
        <w:pStyle w:val="Heading1"/>
        <w:spacing w:after="120" w:line="264" w:lineRule="auto"/>
      </w:pPr>
      <w:r>
        <w:t>10. Fuentes oficiales consultadas</w:t>
      </w:r>
    </w:p>
    <w:p>
      <w:pPr>
        <w:spacing w:after="80"/>
      </w:pPr>
      <w:r>
        <w:rPr>
          <w:rFonts w:ascii="Calibri" w:hAnsi="Calibri"/>
          <w:b/>
          <w:color w:val="1F4D78"/>
        </w:rPr>
        <w:t xml:space="preserve">[S1] </w:t>
      </w:r>
      <w:r>
        <w:t>Interbank, pagina Tasas y Tarifas, tarifarios de prestamos PN/PJ. Consultado: 02/07/2026. URL: https://interbank.pe/tasas-tarifas</w:t>
      </w:r>
    </w:p>
    <w:p>
      <w:pPr>
        <w:spacing w:after="80"/>
      </w:pPr>
      <w:r>
        <w:rPr>
          <w:rFonts w:ascii="Calibri" w:hAnsi="Calibri"/>
          <w:b/>
          <w:color w:val="1F4D78"/>
        </w:rPr>
        <w:t xml:space="preserve">[S2] </w:t>
      </w:r>
      <w:r>
        <w:t>Interbank, Tarifario Prestamo Personal TAR-0242, informacion actualizada a agosto de 2025. Consultado: 02/07/2026. URL: https://content-us-2.content-cms.com/9b3f67ef-5a9f-4acc-8ce8-bcc27fa681c7/dxdam/ae/ae00f939-ee0b-4e31-8211-20c90a6c7679/TAR-0242.pdf?t=1985365265</w:t>
      </w:r>
    </w:p>
    <w:p>
      <w:pPr>
        <w:spacing w:after="80"/>
      </w:pPr>
      <w:r>
        <w:rPr>
          <w:rFonts w:ascii="Calibri" w:hAnsi="Calibri"/>
          <w:b/>
          <w:color w:val="1F4D78"/>
        </w:rPr>
        <w:t xml:space="preserve">[S3] </w:t>
      </w:r>
      <w:r>
        <w:t>Interbank, Tarifario Prestamo Hipotecario TAR-0068. Consultado: 02/07/2026. URL: https://content-us-2.content-cms.com/9b3f67ef-5a9f-4acc-8ce8-bcc27fa681c7/dxdam/28/28f131a4-47ef-419a-9587-924989f51dd4/TAR-0068.pdf?t=1664485172903</w:t>
      </w:r>
    </w:p>
    <w:p>
      <w:pPr>
        <w:spacing w:after="80"/>
      </w:pPr>
      <w:r>
        <w:rPr>
          <w:rFonts w:ascii="Calibri" w:hAnsi="Calibri"/>
          <w:b/>
          <w:color w:val="1F4D78"/>
        </w:rPr>
        <w:t xml:space="preserve">[S4] </w:t>
      </w:r>
      <w:r>
        <w:t>Interbank, Tarifario Credito Vehicular TAR-0042, informacion actualizada a noviembre de 2021. Consultado: 02/07/2026. URL: https://content-us-2.content-cms.com/9b3f67ef-5a9f-4acc-8ce8-bcc27fa681c7/dxdam/30/30bd9a89-d47d-4d8c-9dcd-e4cc88caf755/TAR-0042.pdf?t=1664485172904</w:t>
      </w:r>
    </w:p>
    <w:p>
      <w:pPr>
        <w:spacing w:after="80"/>
      </w:pPr>
      <w:r>
        <w:rPr>
          <w:rFonts w:ascii="Calibri" w:hAnsi="Calibri"/>
          <w:b/>
          <w:color w:val="1F4D78"/>
        </w:rPr>
        <w:t xml:space="preserve">[S5] </w:t>
      </w:r>
      <w:r>
        <w:t>Interbank, Nuevo Tarifario BPE TAR-0244 - Credito Banca Negocios, informacion actualizada a abril de 2026. Consultado: 02/07/2026. URL: https://content-us-2.content-cms.com/9b3f67ef-5a9f-4acc-8ce8-bcc27fa681c7/dxdam/13/137a9378-92fe-43f4-b099-41391d83381b/Nuevo%20Tarifario%20BPE%20%20TAR-0244%20-%20CRI.pdf?t=1775062374</w:t>
      </w:r>
    </w:p>
    <w:p>
      <w:pPr>
        <w:spacing w:after="80"/>
      </w:pPr>
      <w:r>
        <w:rPr>
          <w:rFonts w:ascii="Calibri" w:hAnsi="Calibri"/>
          <w:b/>
          <w:color w:val="1F4D78"/>
        </w:rPr>
        <w:t xml:space="preserve">[S6] </w:t>
      </w:r>
      <w:r>
        <w:t>Interbank, Prestamo Personal: caracteristicas, monto y plazo. Consultado: 02/07/2026. URL: https://interbank.pe/creditos/prestamos/prestamo-personal</w:t>
      </w:r>
    </w:p>
    <w:p>
      <w:pPr>
        <w:spacing w:after="80"/>
      </w:pPr>
      <w:r>
        <w:rPr>
          <w:rFonts w:ascii="Calibri" w:hAnsi="Calibri"/>
          <w:b/>
          <w:color w:val="1F4D78"/>
        </w:rPr>
        <w:t xml:space="preserve">[S7] </w:t>
      </w:r>
      <w:r>
        <w:t>Interbank, Credito Hipotecario Tradicional: plazo, financiamiento, cuota inicial y requisitos. Consultado: 02/07/2026. URL: https://interbank.pe/creditos/credito-hipotecario/clasico/</w:t>
      </w:r>
    </w:p>
    <w:p>
      <w:pPr>
        <w:spacing w:after="80"/>
      </w:pPr>
      <w:r>
        <w:rPr>
          <w:rFonts w:ascii="Calibri" w:hAnsi="Calibri"/>
          <w:b/>
          <w:color w:val="1F4D78"/>
        </w:rPr>
        <w:t xml:space="preserve">[S8] </w:t>
      </w:r>
      <w:r>
        <w:t>Interbank, Credito MiVivienda: plazo, cuota inicial, rango de valor de vivienda y requisitos. Consultado: 02/07/2026. URL: https://interbank.pe/creditos/credito-hipotecario/credito-mivivienda/</w:t>
      </w:r>
    </w:p>
    <w:p>
      <w:pPr>
        <w:spacing w:after="80"/>
      </w:pPr>
      <w:r>
        <w:rPr>
          <w:rFonts w:ascii="Calibri" w:hAnsi="Calibri"/>
          <w:b/>
          <w:color w:val="1F4D78"/>
        </w:rPr>
        <w:t xml:space="preserve">[S9] </w:t>
      </w:r>
      <w:r>
        <w:t>Interbank, Capital de Trabajo: requisitos y monto con garantia. Consultado: 02/07/2026. URL: https://interbank.pe/negocios/financiamiento/capital-de-trabajo</w:t>
      </w:r>
    </w:p>
    <w:p>
      <w:pPr>
        <w:spacing w:after="80"/>
      </w:pPr>
      <w:r>
        <w:rPr>
          <w:rFonts w:ascii="Calibri" w:hAnsi="Calibri"/>
          <w:b/>
          <w:color w:val="1F4D78"/>
        </w:rPr>
        <w:t xml:space="preserve">[S10] </w:t>
      </w:r>
      <w:r>
        <w:t>Interbank, Memoria Anual 2025, seccion Informacion Financiera, paginas 42-43. Consultado: 02/07/2026. URL: https://content-us-2.content-cms.com/9b3f67ef-5a9f-4acc-8ce8-bcc27fa681c7/dxdam/d8/d8fad2d5-f253-4292-b897-0509f4b7e3ef/Interbank%20Memoria%20Anual%202025%20%20-%20Completa.pdf</w:t>
      </w:r>
    </w:p>
    <w:p>
      <w:pPr>
        <w:spacing w:after="80"/>
      </w:pPr>
      <w:r>
        <w:rPr>
          <w:rFonts w:ascii="Calibri" w:hAnsi="Calibri"/>
          <w:b/>
          <w:color w:val="1F4D78"/>
        </w:rPr>
        <w:t xml:space="preserve">[S11] </w:t>
      </w:r>
      <w:r>
        <w:t>SBS, Tasas de interes por tipo de credito y empresa bancaria al 01/07/2026. Consultado: 02/07/2026. URL: https://www.sbs.gob.pe/app/pp/EstadisticasSAEEPortal/Paginas/TIActivaTipoCreditoEmpresa.aspx?tip=B</w:t>
      </w:r>
    </w:p>
    <w:p>
      <w:pPr>
        <w:spacing w:after="80"/>
      </w:pPr>
      <w:r>
        <w:rPr>
          <w:rFonts w:ascii="Calibri" w:hAnsi="Calibri"/>
          <w:b/>
          <w:color w:val="1F4D78"/>
        </w:rPr>
        <w:t xml:space="preserve">[S12] </w:t>
      </w:r>
      <w:r>
        <w:t>SBS, Tasas de interes activas de mercado al 01/07/2026. Consultado: 02/07/2026. URL: https://www.sbs.gob.pe/app/pp/EstadisticasSAEEPortal/Paginas/TIActivaMercado.aspx?tip=B</w:t>
      </w:r>
    </w:p>
    <w:p>
      <w:pPr>
        <w:spacing w:after="80"/>
      </w:pPr>
      <w:r>
        <w:rPr>
          <w:rFonts w:ascii="Calibri" w:hAnsi="Calibri"/>
          <w:b/>
          <w:color w:val="1F4D78"/>
        </w:rPr>
        <w:t xml:space="preserve">[S13] </w:t>
      </w:r>
      <w:r>
        <w:t>SBS, morosidad por tipo de credito y modalidad. Consultado: 02/07/2026. URL: https://www.sbs.gob.pe/app/stats_net/stats/EstadisticaSistemaFinancieroResultados.aspx?c=B-2362</w:t>
      </w:r>
    </w:p>
    <w:p>
      <w:pPr>
        <w:pStyle w:val="Heading1"/>
        <w:spacing w:after="120" w:line="264" w:lineRule="auto"/>
      </w:pPr>
      <w:r>
        <w:t>Anexo A. Formula de cuota usada por la app</w:t>
      </w:r>
    </w:p>
    <w:p>
      <w:pPr>
        <w:spacing w:after="120" w:line="264" w:lineRule="auto"/>
      </w:pPr>
      <w:r>
        <w:t>Para prestamos amortizables en cuotas mensuales, el prototipo usa la tasa efectiva mensual derivada de la TEA:</w:t>
      </w:r>
    </w:p>
    <w:p>
      <w:pPr>
        <w:spacing w:after="120" w:line="264" w:lineRule="auto"/>
      </w:pPr>
      <w:r>
        <w:t>TEM = (1 + TEA)^(1/12) - 1</w:t>
      </w:r>
    </w:p>
    <w:p>
      <w:pPr>
        <w:spacing w:after="120" w:line="264" w:lineRule="auto"/>
      </w:pPr>
      <w:r>
        <w:t>Cuota = Monto * TEM / (1 - (1 + TEM)^(-plazo_meses))</w:t>
      </w:r>
    </w:p>
    <w:p>
      <w:pPr>
        <w:spacing w:after="120" w:line="264" w:lineRule="auto"/>
      </w:pPr>
      <w:r>
        <w:t>Esta formula coincide con el enfoque observado en el backend, donde la tasa mensual se obtiene desde la TEA y se genera un cronograma separando interes, capital y saldo. Para productos con cuota balloon, cuota doble, periodo de gracia, seguros financiados o comisiones, el calculo debe ampliarse y no reutilizarse sin ajustes.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26E"/>
        <w:sz w:val="18"/>
      </w:rPr>
      <w:t>Proyecto academico - Interbank UC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5A626E"/>
        <w:sz w:val="18"/>
      </w:rPr>
      <w:t>Informe de soporte | App de prestamos Interbank UC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soporte - App de prestamos Interbank UC</dc:title>
  <dc:subject>Justificacion de datos y reglas de negocio</dc:subject>
  <dc:creator>Codex</dc:creator>
  <cp:keywords/>
  <dc:description>Fuentes oficiales consultadas el 02/07/2026.</dc:description>
  <cp:lastModifiedBy/>
  <cp:revision>1</cp:revision>
  <dcterms:created xsi:type="dcterms:W3CDTF">2013-12-23T23:15:00Z</dcterms:created>
  <dcterms:modified xsi:type="dcterms:W3CDTF">2013-12-23T23:15:00Z</dcterms:modified>
  <cp:category/>
</cp:coreProperties>
</file>