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E8890C"/>
          <w:sz w:val="28"/>
          <w:szCs w:val="28"/>
        </w:rPr>
        <w:t xml:space="preserve">ElectriSys · Sprint 3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E4C7C"/>
          <w:sz w:val="56"/>
          <w:szCs w:val="56"/>
        </w:rPr>
        <w:t xml:space="preserve">Documentación de la base de datos Oracle</w:t>
      </w:r>
    </w:p>
    <w:p>
      <w:pPr>
        <w:spacing w:after="600"/>
      </w:pPr>
      <w:r>
        <w:rPr>
          <w:rFonts w:ascii="Calibri" w:cs="Calibri" w:eastAsia="Calibri" w:hAnsi="Calibri"/>
          <w:color w:val="5A5A5A"/>
          <w:sz w:val="28"/>
          <w:szCs w:val="28"/>
        </w:rPr>
        <w:t xml:space="preserve">Modelo entidad-relación, diccionario de datos y normalización (3FN / FNBC)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Cliente: Electritorres (repuestos automotrices y agrícolas)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Autores: Cristian Camilo Pesillo Diazgranados · Andrés Santiago Torres Garzón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Asignatura: Ingeniería de Software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9A5400"/>
                <w:sz w:val="22"/>
                <w:szCs w:val="22"/>
              </w:rPr>
              <w:t xml:space="preserve">Estado de los scripts SQL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scripts nuevos de este sprint (07, 09 y 15)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se han ejecutado contra una instancia Oracle real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se escribieron para ser re-ejecutables y deben probarse primero en una copia de la base. Ver el LEEME del paquete oracle_sprint3.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2240" w:h="15840" w:orient="portrait"/>
          <w:pgMar w:top="1300" w:right="1440" w:bottom="1200" w:left="1440" w:header="708" w:footer="708" w:gutter="0"/>
          <w:pgNumType/>
          <w:titlePg/>
          <w:docGrid w:linePitch="360"/>
        </w:sectPr>
      </w:pP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1. Alcance y estado de la base de datos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 base de datos de ElectriSys corre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Oracle 23ai</w:t>
      </w:r>
      <w:r>
        <w:rPr>
          <w:rFonts w:ascii="Calibri" w:cs="Calibri" w:eastAsia="Calibri" w:hAnsi="Calibri"/>
          <w:sz w:val="22"/>
          <w:szCs w:val="22"/>
        </w:rPr>
        <w:t xml:space="preserve"> y se crea con los scripts de la carpeta `oracle/` mediante `cargar_esquema.sh`, en este orden: tablas (02), índices (03), triggers (04), paquetes PL/SQL (06), vistas (07), roles y usuarios (08, 09), pedidos (10) y las tablas del asistente (12–14). Este documento describe el estado resultante después de aplicar el script 15 (fase 1 de normalización).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 / detalle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Tablas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(21 del núcleo del negocio y del asistente + MARCAS, MODELOS, CONSULTA_ENTIDADES y CONSULTA_RECOMENDACIONES del script 15)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Índices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 en el script 03, más los de unicidad y claves foráneas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Triggers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en el script 04, más `trg_vehiculos_modelo_id` del script 15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Paquetes PL/SQL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pkg_ventas, pkg_reportes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Vistas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originales + `vw_totales_documento` y `vw_vehiculos`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rol_electrisys_admin, rol_electrisys_vendedor, rol_electrisys_dueno</w:t>
            </w: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sobre el conteo.</w:t>
      </w:r>
      <w:r>
        <w:rPr>
          <w:rFonts w:ascii="Calibri" w:cs="Calibri" w:eastAsia="Calibri" w:hAnsi="Calibri"/>
          <w:sz w:val="22"/>
          <w:szCs w:val="22"/>
        </w:rPr>
        <w:t xml:space="preserve"> El plan de trabajo hablaba de 21 tablas en 3FN. El número real es 25 porque se agregaron las tablas del asistente de lenguaje natural (nlp_intenciones, nlp_frases, posibles_errores, posibles_errores_avisos) y las 4 tablas nuevas de la normalización.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2. Modelo entidad-relación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 modelo se divide en tres diagramas para que sea legible. Cada caja muestra solo las claves (PK y FK); las demás columnas están en el diccionario de datos (sección 3).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2.1 Módulo comercial</w:t>
      </w:r>
    </w:p>
    <w:p>
      <w:pPr>
        <w:spacing w:after="60"/>
        <w:jc w:val="center"/>
      </w:pPr>
      <w:r>
        <w:drawing>
          <wp:inline distT="0" distB="0" distL="0" distR="0">
            <wp:extent cx="4857750" cy="4000500"/>
            <wp:effectExtent t="0" r="0" b="0" l="0"/>
            <wp:docPr id="1" name="er_comercial.png" descr="Figura 1. Módulo comercial: usuarios, clientes, inventario, ventas, cotizaciones y pedidos" title="Figura 1. Módulo comercial: usuarios, clientes, inventario, ventas, cotizaciones y 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Figura 1. Módulo comercial: usuarios, clientes, inventario, ventas, cotizaciones y pedidos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2.2 Vehículos y compatibilidad</w:t>
      </w:r>
    </w:p>
    <w:p>
      <w:pPr>
        <w:spacing w:after="60"/>
        <w:jc w:val="center"/>
      </w:pPr>
      <w:r>
        <w:drawing>
          <wp:inline distT="0" distB="0" distL="0" distR="0">
            <wp:extent cx="2362200" cy="3810000"/>
            <wp:effectExtent t="0" r="0" b="0" l="0"/>
            <wp:docPr id="1" name="er_vehiculos.png" descr="Figura 2. Vehículos y compatibilidad (con MARCAS y MODELOS)" title="Figura 2. Vehículos y compatibilidad (con MARCAS y MODEL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Figura 2. Vehículos y compatibilidad (con MARCAS y MODELOS)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Un repuesto es compatible con muchos vehículos y un vehículo acepta muchos repuestos: la tabla REPUESTO_COMPATIBILIDAD resuelve la relación N:M. Desde el script 15, un vehículo apunta a un modelo y cada modelo a una marca.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2.3 Asistente, auditoría y seguridad</w:t>
      </w:r>
    </w:p>
    <w:p>
      <w:pPr>
        <w:spacing w:after="60"/>
        <w:jc w:val="center"/>
      </w:pPr>
      <w:r>
        <w:drawing>
          <wp:inline distT="0" distB="0" distL="0" distR="0">
            <wp:extent cx="3933825" cy="4953000"/>
            <wp:effectExtent t="0" r="0" b="0" l="0"/>
            <wp:docPr id="1" name="er_asistente.png" descr="Figura 3. Asistente de lenguaje natural, auditoría y seguridad" title="Figura 3. Asistente de lenguaje natural, auditoría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Figura 3. Asistente de lenguaje natural, auditoría y seguridad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NLP_INTENCIONES y NLP_FRASES guardan el corpus de entrenamiento; POSIBLES_ERRORES y POSIBLES_ERRORES_AVISOS son el catálogo de errores de digitación; CONSULTAS_ASISTENTE guarda cada consulta y, desde el script 15, sus entidades y recomendaciones quedan en tablas hijas. AUDIT_LOG y LOGIN_ATTEMPTS no tienen claves foráneas a propósito: deben conservar el registro aunque se borre el usuario.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3. Diccionario de datos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 cada tabla: nombre de columna, tipo Oracle, si admite nulos (NN = NOT NULL), tipo de clave y observaciones (valor por defecto, clave foránea, restricciones de unicidad y CHECK).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nombre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VARCHAR2(255)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rol_id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roles(id)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email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contacto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telefono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direccion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nombre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categoria_id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categorias(id)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proveedor_id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proveedores(id)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precio_compra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precio_venta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stock_minimo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5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codigo · CHECK: CONSTRAINT ck_repuestos_stock CHECK (stock &gt;= 0) | CONSTRAINT ck_repuestos_precios CHECK (precio_venta &gt;= 0 AND precio_compra &gt;= 0)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identificacion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tipo_doc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'CC'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telefono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direccion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identificacion · CHECK: CONSTRAINT ck_clientes_tipo_doc CHECK (tipo_doc IN ('CC','NIT','CE','Pasaporte'))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numero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clientes(id)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usuarios(id)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impuesto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metodo_pago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'efectivo'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'completada'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notas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numero · CHECK: CONSTRAINT ck_ventas_metodo_pago CHECK (metodo_pago IN ('efectivo','tarjeta','transferencia','credito')) | CONSTRAINT ck_ventas_estado CHECK (estado IN ('completada','anulada','pendiente')) | CONSTRAINT ck_ventas_total CHECK (total &gt;= 0)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DETALLE_VENTAS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venta_id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ventas(id)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repuesto_id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repuestos(id)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precio_unit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CHECK: CONSTRAINT ck_detven_cantidad CHECK (cantidad &gt; 0)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COTIZACIONES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numero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clientes(id)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usuarios(id)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impuesto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'borrador'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vence_en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notas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numero · CHECK: CONSTRAINT ck_cotiz_estado CHECK (estado IN ('borrador','enviada','aceptada','rechazada','vencida'))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DETALLE_COTIZACIONES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cotizacion_id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cotizaciones(id)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repuesto_id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repuestos(id)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precio_unit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VEHICULOS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marca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VARCHAR2(80)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modelo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VARCHAR2(80)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anio_desde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NUMBER(4)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anio_hasta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NUMBER(4)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motor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combustible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'gasolina'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modelo_id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modelos(id)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marca,modelo,anio_desde,anio_hasta,motor,combustible · CHECK: CONSTRAINT ck_vehiculos_combustible CHECK (combustible IN ('gasolina','diesel','hibrido','electrico','gas')) | CONSTRAINT ck_vehiculos_anios CHECK (anio_hasta &gt;= anio_desde)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REPUESTO_COMPATIBILIDAD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repuesto_id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repuestos(id)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vehiculo_id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vehiculos(id)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repuesto_id,vehiculo_id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CONSULTAS_ASISTENTE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usuarios(id)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texto_consulta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intencion_detectada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entidades_json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JSON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respuesta_json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JSON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util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NULL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detalle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VARCHAR2(45)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LOGIN_ATTEMPTS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VARCHAR2(45)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numero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proveedor_id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proveedores(id)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usuarios(id)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'solicitado'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NUMBER(14,2)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fecha_esperada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notas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VARCHAR2(4000)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recibido_en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numero · CHECK: CONSTRAINT ck_pedidos_estado CHECK (estado IN ('solicitado','en_transito','recibido','cancelado')) | CONSTRAINT ck_pedidos_total CHECK (total &gt;= 0 AND subtotal &gt;= 0)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PEDIDO_DETALLE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pedido_id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pedidos(id)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repuesto_id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repuestos(id)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precio_unit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CHECK: CONSTRAINT ck_peddet_cantidad CHECK (cantidad &gt; 0) | CONSTRAINT ck_peddet_precio CHECK (precio_unit &gt;= 0)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NLP_INTENCIONES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respuesta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nombre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NLP_FRASES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intencion_id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nlp_intenciones(id)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conjunto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VARCHAR2(15)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n_caracteres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NUMBER(4)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n_palabras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NUMBER(3)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fuente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CHECK: CONSTRAINT ck_nlp_frases_conjunto CHECK (conjunto IN ('entrenamiento', 'holdout'))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POSIBLES_ERRORES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nivel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origen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'auto'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tipo,error,correcto · CHECK: CONSTRAINT ck_pe_tipo CHECK (tipo IN ('marca', 'modelo', 'categoria')) | CONSTRAINT ck_pe_nivel CHECK (nivel BETWEEN 1 AND 4) | CONSTRAINT ck_pe_origen CHECK (origen IN ('auto', 'manual'))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POSIBLES_ERRORES_AVISOS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nivel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motivo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CHECK: CONSTRAINT ck_pea_tipo CHECK (tipo IN ('marca', 'modelo', 'categoria'))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MARCAS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VARCHAR2(80)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Único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nombre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marca_id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marcas(id)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VARCHAR2(80)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creado_en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SYSTIMESTAMP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Unicidad: marca_id,nombre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CONSULTA_ENTIDADES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IDENTITY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consultas_asistente(id)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valor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CHECK: CHECK (tipo IN ('marca','modelo','anio','categoria','repuesto','cantidad'))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CONSULTA_RECOMENDACIONES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00"/>
        <w:gridCol w:w="7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NN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consultas_asistente(id)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repuesto_id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repuestos(id)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posicion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NUMBER(3)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es_sustituto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Def: 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puntaje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NUMBER(5,2)</w:t>
            </w:r>
          </w:p>
        </w:tc>
        <w:tc>
          <w:tcPr>
            <w:tcW w:type="dxa" w:w="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</w:p>
        </w:tc>
        <w:tc>
          <w:tcPr>
            <w:tcW w:type="dxa" w:w="4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CHECK: CHECK (es_sustituto IN (0,1)) | CHECK (posicion &gt; 0)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4. Normalización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revisó cada tabla contra las tres primeras formas normales y la forma normal de Boyce-Codd (FNBC). La revisión se hizo sobre el esquema real; lo que ya cumplía se deja tal cual y lo que no, se corrige con el script 15.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4.1 Primera forma normal (1FN)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Todas las columnas son atómicas: no hay listas ni columnas repetidas del tipo `telefono1`, `telefono2`.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Todas las tablas tienen clave primaria (columna `id` con identity), salvo CONSULTA_RECOMENDACIONES, cuya clave es compuesta (consulta_id, repuesto_id).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Incumplimiento detectado: CONSULTAS_ASISTENTE guardaba las entidades extraídas (`entidades_json`) y la respuesta con los repuestos recomendados (`respuesta_json`) como documentos JSON dentro de una sola celda, es decir, varios valores por columna. Se crearon CONSULTA_ENTIDADES y CONSULTA_RECOMENDACIONES para guardar un valor por fila.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4.2 Segunda forma normal (2FN)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Como casi todas las tablas usan una clave simple (`id`), no pueden tener dependencias parciales. Las únicas con clave compuesta son REPUESTO_COMPATIBILIDAD y CONSULTA_RECOMENDACIONES; en ambas los atributos dependen de la clave completa (la posición, el puntaje y el indicador de sustituto describen el par consulta–repuesto).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Cumple.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4.3 Tercera forma normal (3FN)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Dependencias transitivas encontradas y su tratamiento: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960"/>
      </w:tblGrid>
      <w:tr>
        <w:trPr>
          <w:cantSplit/>
          <w:tblHeader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Tabla.columna</w:t>
            </w:r>
          </w:p>
        </w:tc>
        <w:tc>
          <w:tcPr>
            <w:tcW w:type="dxa" w:w="3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VEHICULOS.marca / modelo</w:t>
            </w:r>
          </w:p>
        </w:tc>
        <w:tc>
          <w:tcPr>
            <w:tcW w:type="dxa" w:w="3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texto de la marca depende del modelo, y el modelo de su marca: se repetía en cada vehículo (modelo → marca).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Tablas MARCAS y MODELOS; VEHICULOS.modelo_id (FK). Fase 1: se conservan las columnas de texto y un trigger llena modelo_id. Fase 2: eliminarlas.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VENTAS.subtotal / total, COTIZACIONES.subtotal / total, PEDIDOS.subtotal / total</w:t>
            </w:r>
          </w:p>
        </w:tc>
        <w:tc>
          <w:tcPr>
            <w:tcW w:type="dxa" w:w="3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Valores derivados de la suma de las líneas: pueden quedar desincronizados.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Vista `vw_totales_documento` calcula y concilia (columna `diferencia`). Fase 2: dejar de leer las columnas guardadas.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DETALLE_*.subtotal</w:t>
            </w:r>
          </w:p>
        </w:tc>
        <w:tc>
          <w:tcPr>
            <w:tcW w:type="dxa" w:w="3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Derivado: cantidad × precio_unit − descuento.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mantiene por rendimiento y se valida con la vista; es una desnormalización controlada.</w:t>
            </w: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 resto de las tablas ya está en 3FN: ROLES, CATEGORIAS, PROVEEDORES, CLIENTES, USUARIOS (el rol se guarda como FK), REPUESTOS (categoría y proveedor como FK) y las tablas NLP.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4.4 Forma normal de Boyce-Codd (FNBC)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todas las tablas los determinantes son claves candidatas: la clave primaria `id` más las restricciones de unicidad (`usuarios.email`, `repuestos.codigo`, `ventas.numero`, `cotizaciones.numero`, `pedidos.numero`, `marcas.nombre`, `modelos(marca_id, nombre)`). No se encontró ninguna dependencia funcional cuyo determinante no sea clave candidata, por lo que las tablas cumplen FNBC.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4.5 Lo que queda para la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9A5400"/>
                <w:sz w:val="22"/>
                <w:szCs w:val="22"/>
              </w:rPr>
              <w:t xml:space="preserve">Pendiente: cambios en el backend (PHP)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fase 1 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compatible hacia atrás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no rompe el backend actual porque deja las columnas viejas. La fase 2 exige tocar código: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`VehiculoModel` debe leer y escribir `modelo_id` (usando `vw_vehiculos`) en lugar de `marca` y `modelo` como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Las rutas de ventas y cotizaciones deben dejar de depender de `subtotal` y `total` guardados y usar `vw_totales_documento`.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Luego se eliminan `vehiculos.marca`, `vehiculos.modelo` y las columnas derivadas. Esto se hará en un sprint posterior, con pruebas.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5. Vistas y verificaciones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Vista</w:t>
            </w:r>
          </w:p>
        </w:tc>
        <w:tc>
          <w:tcPr>
            <w:tcW w:type="dxa" w:w="6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vw_totales_documento</w:t>
            </w:r>
          </w:p>
        </w:tc>
        <w:tc>
          <w:tcPr>
            <w:tcW w:type="dxa" w:w="6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ventas, cotizaciones y pedidos: suma de detalles (`subtotal_detalle`), descuento e impuesto del encabezado, `total_calculado`, `total_guardado` y `diferencia`. El IVA aún no se puede derivar de las líneas.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vw_vehiculos</w:t>
            </w:r>
          </w:p>
        </w:tc>
        <w:tc>
          <w:tcPr>
            <w:tcW w:type="dxa" w:w="6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Devuelve vehículo con marca y modelo normalizados (joins con MODELOS y MARCAS).</w:t>
            </w: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Verificaciones al final del script 15: vehículos sin `modelo_id` = 0 y documentos con `diferencia &lt;&gt; 0` = 0. Si alguna no da cero, el script lo informa para revisar los datos antes de continuar.</w:t>
      </w:r>
    </w:p>
    <w:sectPr>
      <w:headerReference w:type="default" r:id="rId11"/>
      <w:footerReference w:type="default" r:id="rId12"/>
      <w:type w:val="nextPage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Página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Página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jc w:val="right"/>
    </w:pPr>
    <w:r>
      <w:rPr>
        <w:rFonts w:ascii="Calibri" w:cs="Calibri" w:eastAsia="Calibri" w:hAnsi="Calibri"/>
        <w:color w:val="5A5A5A"/>
        <w:sz w:val="18"/>
        <w:szCs w:val="18"/>
      </w:rPr>
      <w:t xml:space="preserve">Documentación de la BD · Sprint 3 · ElectriSys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jc w:val="right"/>
    </w:pPr>
    <w:r>
      <w:rPr>
        <w:rFonts w:ascii="Calibri" w:cs="Calibri" w:eastAsia="Calibri" w:hAnsi="Calibri"/>
        <w:color w:val="5A5A5A"/>
        <w:sz w:val="18"/>
        <w:szCs w:val="18"/>
      </w:rPr>
      <w:t xml:space="preserve">Documentación de la BD · Sprint 3 · ElectriSys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3fc3e9bd588af73114769e29c01e9d4ebcfa767f.png"/><Relationship Id="rId14" Type="http://schemas.openxmlformats.org/officeDocument/2006/relationships/image" Target="media/80a951561db50b498b6d0407fb10eaacd2da9e69.png"/><Relationship Id="rId15" Type="http://schemas.openxmlformats.org/officeDocument/2006/relationships/image" Target="media/15b7f8e3bc328c5b4f7239a24ac3a48e48d23db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BD ElectriSys</dc:title>
  <dc:creator>Cristian Pesillo</dc:creator>
  <cp:lastModifiedBy>Un-named</cp:lastModifiedBy>
  <cp:revision>1</cp:revision>
  <dcterms:created xsi:type="dcterms:W3CDTF">2026-10-03T04:45:02.438Z</dcterms:created>
  <dcterms:modified xsi:type="dcterms:W3CDTF">2026-10-03T04:45:02.438Z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