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</w:pPr>
      <w:r>
        <w:rPr>
          <w:rFonts w:ascii="Times New Roman" w:hAnsi="Times New Roman"/>
          <w:b/>
          <w:sz w:val="36"/>
        </w:rPr>
        <w:t>INFORME TÉCNICO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sz w:val="24"/>
        </w:rPr>
        <w:t>INAMHI-DAF-UTICS-2026-035-IT-RE</w:t>
      </w:r>
    </w:p>
    <w:p>
      <w:pPr>
        <w:spacing w:before="120" w:after="80"/>
        <w:jc w:val="left"/>
      </w:pPr>
      <w:r>
        <w:rPr>
          <w:rFonts w:ascii="Times New Roman" w:hAnsi="Times New Roman"/>
          <w:b/>
          <w:sz w:val="22"/>
        </w:rPr>
        <w:t xml:space="preserve">Asunto: </w:t>
      </w:r>
      <w:r>
        <w:rPr>
          <w:rFonts w:ascii="Times New Roman" w:hAnsi="Times New Roman"/>
          <w:sz w:val="22"/>
        </w:rPr>
        <w:t>Revisión de equipo tecnológico disponible para asignación.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 xml:space="preserve">Fecha: </w:t>
      </w:r>
      <w:r>
        <w:rPr>
          <w:rFonts w:ascii="Times New Roman" w:hAnsi="Times New Roman"/>
          <w:sz w:val="22"/>
        </w:rPr>
        <w:t>12 de junio de 2026</w:t>
      </w:r>
    </w:p>
    <w:p>
      <w:pPr>
        <w:spacing w:before="0" w:after="8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1. ANTECEDENTES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sz w:val="22"/>
        </w:rPr>
        <w:t xml:space="preserve">Mediante requerimiento institucional, se solicitó la entrega y configuración de un equipo de cómputo para </w:t>
      </w:r>
      <w:r>
        <w:rPr>
          <w:rFonts w:ascii="Times New Roman" w:hAnsi="Times New Roman"/>
          <w:b/>
          <w:sz w:val="22"/>
        </w:rPr>
        <w:t>SASDAD ASDASDASD</w:t>
      </w:r>
      <w:r>
        <w:rPr>
          <w:rFonts w:ascii="Times New Roman" w:hAnsi="Times New Roman"/>
          <w:b w:val="0"/>
          <w:sz w:val="22"/>
        </w:rPr>
        <w:t xml:space="preserve">, con C.I. </w:t>
      </w:r>
      <w:r>
        <w:rPr>
          <w:rFonts w:ascii="Times New Roman" w:hAnsi="Times New Roman"/>
          <w:b/>
          <w:sz w:val="22"/>
        </w:rPr>
        <w:t>1723929160</w:t>
      </w:r>
      <w:r>
        <w:rPr>
          <w:rFonts w:ascii="Times New Roman" w:hAnsi="Times New Roman"/>
          <w:b w:val="0"/>
          <w:sz w:val="22"/>
        </w:rPr>
        <w:t xml:space="preserve">, quien desempeña el cargo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en la </w:t>
      </w:r>
      <w:r>
        <w:rPr>
          <w:rFonts w:ascii="Times New Roman" w:hAnsi="Times New Roman"/>
          <w:b/>
          <w:sz w:val="22"/>
        </w:rPr>
        <w:t>TECNOP</w:t>
      </w:r>
      <w:r>
        <w:rPr>
          <w:rFonts w:ascii="Times New Roman" w:hAnsi="Times New Roman"/>
          <w:b w:val="0"/>
          <w:sz w:val="22"/>
        </w:rPr>
        <w:t>, a fin de contar con las herramientas tecnológicas necesarias para el cumplimiento de sus actividades y responsabilidades institucionales.</w:t>
      </w:r>
    </w:p>
    <w:p>
      <w:pPr>
        <w:spacing w:before="0" w:after="12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2. DESARROLLO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En atención al requerimiento realizado, se efectuó la revisión física y funcional del equipo tecnológico destinado al personal asignado, verificando el estado adecuado y funcional del equipo tecnológico.</w:t>
      </w:r>
    </w:p>
    <w:p>
      <w:pPr>
        <w:spacing w:before="0" w:after="8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09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re_asignacion_134105036498_Captura_de_pantalla_2026-04-17_1126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Como parte del proceso de preparación del equipo, se realizaron las validaciones necesarias del sistema tecnológico requeridas para el desarrollo de las actividades laborales.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Se verificó la identificación de los bienes tecnológicos mediante la validación de sus respectivas etiquetas institucionales y códigos de control interno.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Durante las pruebas y verificaciones efectuadas, se constató que los equipos presentan un funcionamiento estable y adecuado, cumpliendo con las condiciones técnicas necesarias para su entrega, asignación y uso dentro de las actividades institucionales del personal asignado.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Una vez concluidas las verificaciones técnicas y configuraciones correspondientes, se confirmó que el equipo se encuentra en buenas condiciones para su utilización.</w:t>
      </w:r>
    </w:p>
    <w:p>
      <w:pPr>
        <w:spacing w:before="120" w:after="40"/>
        <w:jc w:val="left"/>
      </w:pPr>
      <w:r>
        <w:rPr>
          <w:rFonts w:ascii="Times New Roman" w:hAnsi="Times New Roman"/>
          <w:b/>
          <w:sz w:val="22"/>
        </w:rPr>
        <w:t>Características e identificación del bien tecnológico</w:t>
      </w:r>
    </w:p>
    <w:p>
      <w:pPr>
        <w:spacing w:before="0" w:after="40"/>
        <w:jc w:val="both"/>
      </w:pPr>
    </w:p>
    <w:p>
      <w:pPr>
        <w:spacing w:before="120" w:after="40"/>
        <w:jc w:val="left"/>
      </w:pPr>
      <w:r>
        <w:rPr>
          <w:rFonts w:ascii="Times New Roman" w:hAnsi="Times New Roman"/>
          <w:b/>
          <w:color w:val="003B73"/>
          <w:sz w:val="22"/>
          <w:u w:val="single"/>
        </w:rPr>
        <w:t>CPU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6E4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MARCA: HP</w:t>
            </w:r>
          </w:p>
        </w:tc>
        <w:tc>
          <w:tcPr>
            <w:tcW w:type="dxa" w:w="4535"/>
            <w:shd w:val="clear" w:color="auto" w:fill="D6E4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ESTADO: REGULAR</w:t>
            </w:r>
          </w:p>
        </w:tc>
      </w:tr>
    </w:tbl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MODELO: </w:t>
      </w:r>
      <w:r>
        <w:rPr>
          <w:rFonts w:ascii="Times New Roman" w:hAnsi="Times New Roman"/>
          <w:sz w:val="20"/>
        </w:rPr>
        <w:t>VISUAL</w:t>
      </w:r>
    </w:p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CÓDIGO ESBYE: </w:t>
      </w:r>
      <w:r>
        <w:rPr>
          <w:rFonts w:ascii="Times New Roman" w:hAnsi="Times New Roman"/>
          <w:sz w:val="20"/>
        </w:rPr>
        <w:t>ESPBYE</w:t>
      </w:r>
    </w:p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NÚMERO DE SERIE: </w:t>
      </w:r>
      <w:r>
        <w:rPr>
          <w:rFonts w:ascii="Times New Roman" w:hAnsi="Times New Roman"/>
          <w:sz w:val="20"/>
        </w:rPr>
        <w:t>102030</w:t>
      </w:r>
    </w:p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CÓDIGO ANTERIOR: </w:t>
      </w:r>
      <w:r>
        <w:rPr>
          <w:rFonts w:ascii="Times New Roman" w:hAnsi="Times New Roman"/>
          <w:sz w:val="20"/>
        </w:rPr>
        <w:t>HGFD12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09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re_asignacion_134105036498_Captura_de_pantalla_2026-04-17_1126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3. CONCLUSIONES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Durante las verificaciones efectuadas se comprobó el correcto funcionamiento de los recursos tecnológicos requeridos para el desempeño de las funciones institucionales.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 xml:space="preserve">Como resultado de las validaciones efectuadas, se realizó la entrega y configuración de los bienes tecnológicos a favor de </w:t>
      </w:r>
      <w:r>
        <w:rPr>
          <w:rFonts w:ascii="Times New Roman" w:hAnsi="Times New Roman"/>
          <w:b/>
          <w:sz w:val="22"/>
        </w:rPr>
        <w:t>SASDAD ASDASDASD</w:t>
      </w:r>
      <w:r>
        <w:rPr>
          <w:rFonts w:ascii="Times New Roman" w:hAnsi="Times New Roman"/>
          <w:b w:val="0"/>
          <w:sz w:val="22"/>
        </w:rPr>
        <w:t xml:space="preserve">, en su calidad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de la </w:t>
      </w:r>
      <w:r>
        <w:rPr>
          <w:rFonts w:ascii="Times New Roman" w:hAnsi="Times New Roman"/>
          <w:b/>
          <w:sz w:val="22"/>
        </w:rPr>
        <w:t>TECNOP</w:t>
      </w:r>
      <w:r>
        <w:rPr>
          <w:rFonts w:ascii="Times New Roman" w:hAnsi="Times New Roman"/>
          <w:b w:val="0"/>
          <w:sz w:val="22"/>
        </w:rPr>
        <w:t>, quedando apto para el desempeño de sus funciones institucionales.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00"/>
        </w:trPr>
        <w:tc>
          <w:tcPr>
            <w:tcW w:type="dxa" w:w="4535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ELABORADO POR:</w:t>
            </w:r>
          </w:p>
        </w:tc>
        <w:tc>
          <w:tcPr>
            <w:tcW w:type="dxa" w:w="4535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APROBADO POR:</w:t>
            </w:r>
          </w:p>
        </w:tc>
      </w:tr>
      <w:tr>
        <w:trPr>
          <w:trHeight w:val="1800"/>
        </w:trPr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</w:tr>
      <w:tr>
        <w:trPr>
          <w:trHeight w:val="500"/>
        </w:trP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br/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984" w:right="1134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40" w:after="0"/>
      <w:jc w:val="center"/>
    </w:pPr>
    <w:r>
      <w:drawing>
        <wp:inline xmlns:a="http://schemas.openxmlformats.org/drawingml/2006/main" xmlns:pic="http://schemas.openxmlformats.org/drawingml/2006/picture">
          <wp:extent cx="5940000" cy="700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n_pie_pag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700472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40"/>
      <w:jc w:val="center"/>
    </w:pPr>
    <w:r>
      <w:drawing>
        <wp:inline xmlns:a="http://schemas.openxmlformats.org/drawingml/2006/main" xmlns:pic="http://schemas.openxmlformats.org/drawingml/2006/picture">
          <wp:extent cx="5940000" cy="72381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n_encabezad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72381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