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rFonts w:ascii="Times New Roman" w:hAnsi="Times New Roman"/>
          <w:b/>
          <w:sz w:val="36"/>
        </w:rPr>
        <w:t>INFORME TÉCNICO</w:t>
      </w:r>
    </w:p>
    <w:p>
      <w:pPr>
        <w:spacing w:before="0" w:after="240"/>
        <w:jc w:val="center"/>
      </w:pPr>
      <w:r>
        <w:rPr>
          <w:rFonts w:ascii="Times New Roman" w:hAnsi="Times New Roman"/>
          <w:b/>
          <w:sz w:val="24"/>
        </w:rPr>
        <w:t>INAMHI-DAF-UTICS-2026-049-IT-I</w:t>
      </w:r>
    </w:p>
    <w:p>
      <w:pPr>
        <w:spacing w:before="120" w:after="80"/>
        <w:jc w:val="left"/>
      </w:pPr>
      <w:r>
        <w:rPr>
          <w:rFonts w:ascii="Times New Roman" w:hAnsi="Times New Roman"/>
          <w:b/>
          <w:sz w:val="22"/>
        </w:rPr>
        <w:t xml:space="preserve">Asunto: </w:t>
      </w:r>
      <w:r>
        <w:rPr>
          <w:rFonts w:ascii="Times New Roman" w:hAnsi="Times New Roman"/>
          <w:sz w:val="22"/>
        </w:rPr>
        <w:t>Instalación de bien tecnológico.</w:t>
      </w:r>
    </w:p>
    <w:p>
      <w:pPr>
        <w:spacing w:before="0" w:after="120"/>
        <w:jc w:val="left"/>
      </w:pPr>
      <w:r>
        <w:rPr>
          <w:rFonts w:ascii="Times New Roman" w:hAnsi="Times New Roman"/>
          <w:b/>
          <w:sz w:val="22"/>
        </w:rPr>
        <w:t xml:space="preserve">Fecha: </w:t>
      </w:r>
      <w:r>
        <w:rPr>
          <w:rFonts w:ascii="Times New Roman" w:hAnsi="Times New Roman"/>
          <w:sz w:val="22"/>
        </w:rPr>
        <w:t>18 de junio de 2026</w:t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instalación y configuración de un bien tecnológico para </w:t>
      </w:r>
      <w:r>
        <w:rPr>
          <w:rFonts w:ascii="Times New Roman" w:hAnsi="Times New Roman"/>
          <w:b/>
          <w:sz w:val="22"/>
        </w:rPr>
        <w:t>SASDAD ASDASDASD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1752586600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TECNOP</w:t>
      </w:r>
      <w:r>
        <w:rPr>
          <w:rFonts w:ascii="Times New Roman" w:hAnsi="Times New Roman"/>
          <w:b w:val="0"/>
          <w:sz w:val="22"/>
        </w:rPr>
        <w:t>, a fin de contar con los recursos tecnológicos necesarios para el cumplimiento de sus actividades y responsabilidades institucionales.</w:t>
      </w:r>
    </w:p>
    <w:p>
      <w:pPr>
        <w:spacing w:before="0" w:after="12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llevó a cabo la instalación del bien tecnológico solicitado, considerando los parámetros técnicos y operativos requeridos para su incorporación al entorno institucional.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Como parte del procedimiento, se efectuaron las configuraciones necesarias para su puesta en marcha, así como la integración de los recursos asociados para garantizar su disponibilidad y uso adecuado.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Finalmente, se realizó el registro e identificación del bien mediante la comprobación de los datos patrimoniales y controles institucionales correspondientes.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—</w:t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Una vez concluido el proceso de instalación, el bien tecnológico quedó integrado al entorno de trabajo institucional y disponible para su utilización conforme a los requerimientos del área solicitante.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actividades realizadas, se efectuó la instalación y configuración del bien tecnológico a favor de </w:t>
      </w:r>
      <w:r>
        <w:rPr>
          <w:rFonts w:ascii="Times New Roman" w:hAnsi="Times New Roman"/>
          <w:b/>
          <w:sz w:val="22"/>
        </w:rPr>
        <w:t>SASDAD ASDASDASD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TECNOP</w:t>
      </w:r>
      <w:r>
        <w:rPr>
          <w:rFonts w:ascii="Times New Roman" w:hAnsi="Times New Roman"/>
          <w:b w:val="0"/>
          <w:sz w:val="22"/>
        </w:rPr>
        <w:t>, quedando apto para el desempeño de sus funciones institucionales.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ELABORADO POR: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ALEJANDRO CUENCA</w:t>
              <w:br/>
              <w:t>TÉCNICO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LUISA</w:t>
              <w:br/>
              <w:t>DIRECTORA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40" w:after="0"/>
      <w:jc w:val="center"/>
    </w:pPr>
    <w:r>
      <w:drawing>
        <wp:inline xmlns:a="http://schemas.openxmlformats.org/drawingml/2006/main" xmlns:pic="http://schemas.openxmlformats.org/drawingml/2006/picture">
          <wp:extent cx="5940000" cy="700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pie_pag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0047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jc w:val="center"/>
    </w:pPr>
    <w:r>
      <w:drawing>
        <wp:inline xmlns:a="http://schemas.openxmlformats.org/drawingml/2006/main" xmlns:pic="http://schemas.openxmlformats.org/drawingml/2006/picture">
          <wp:extent cx="5940000" cy="7238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encabez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2381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