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center"/>
      </w:pPr>
      <w:r>
        <w:rPr>
          <w:rFonts w:ascii="Times New Roman" w:hAnsi="Times New Roman"/>
          <w:b/>
          <w:sz w:val="36"/>
        </w:rPr>
        <w:t>INFORME TÉCNICO</w:t>
      </w:r>
    </w:p>
    <w:p>
      <w:pPr>
        <w:spacing w:before="0" w:after="240"/>
        <w:jc w:val="center"/>
      </w:pPr>
      <w:r>
        <w:rPr>
          <w:rFonts w:ascii="Times New Roman" w:hAnsi="Times New Roman"/>
          <w:b/>
          <w:sz w:val="24"/>
        </w:rPr>
        <w:t>INAMHI-DAF-UTICS-2026-057-IT-RE</w:t>
      </w:r>
    </w:p>
    <w:p>
      <w:pPr>
        <w:spacing w:before="120" w:after="80"/>
        <w:jc w:val="left"/>
      </w:pPr>
      <w:r>
        <w:rPr>
          <w:rFonts w:ascii="Times New Roman" w:hAnsi="Times New Roman"/>
          <w:b/>
          <w:sz w:val="22"/>
        </w:rPr>
        <w:t xml:space="preserve">Asunto: </w:t>
      </w:r>
      <w:r>
        <w:rPr>
          <w:rFonts w:ascii="Times New Roman" w:hAnsi="Times New Roman"/>
          <w:sz w:val="22"/>
        </w:rPr>
        <w:t>Revisión de estado de bien tecnológico.</w:t>
      </w:r>
    </w:p>
    <w:p>
      <w:pPr>
        <w:spacing w:before="0" w:after="120"/>
        <w:jc w:val="left"/>
      </w:pPr>
      <w:r>
        <w:rPr>
          <w:rFonts w:ascii="Times New Roman" w:hAnsi="Times New Roman"/>
          <w:b/>
          <w:sz w:val="22"/>
        </w:rPr>
        <w:t xml:space="preserve">Fecha: </w:t>
      </w:r>
      <w:r>
        <w:rPr>
          <w:rFonts w:ascii="Times New Roman" w:hAnsi="Times New Roman"/>
          <w:sz w:val="22"/>
        </w:rPr>
        <w:t>18 de junio de 2026</w:t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1. ANTECEDENTES</w:t>
      </w:r>
    </w:p>
    <w:p>
      <w:pPr>
        <w:spacing w:before="40" w:after="80"/>
        <w:jc w:val="both"/>
      </w:pPr>
      <w:r>
        <w:rPr>
          <w:rFonts w:ascii="Times New Roman" w:hAnsi="Times New Roman"/>
          <w:b w:val="0"/>
          <w:sz w:val="22"/>
        </w:rPr>
        <w:t xml:space="preserve">Mediante requerimiento institucional, se solicitó la revisión del estado físico y operativo de un bien tecnológico asignado a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con C.I. </w:t>
      </w:r>
      <w:r>
        <w:rPr>
          <w:rFonts w:ascii="Times New Roman" w:hAnsi="Times New Roman"/>
          <w:b/>
          <w:sz w:val="22"/>
        </w:rPr>
        <w:t>1723929160</w:t>
      </w:r>
      <w:r>
        <w:rPr>
          <w:rFonts w:ascii="Times New Roman" w:hAnsi="Times New Roman"/>
          <w:b w:val="0"/>
          <w:sz w:val="22"/>
        </w:rPr>
        <w:t xml:space="preserve">, quien desempeña el cargo de </w:t>
      </w:r>
      <w:r>
        <w:rPr>
          <w:rFonts w:ascii="Times New Roman" w:hAnsi="Times New Roman"/>
          <w:b/>
          <w:sz w:val="22"/>
        </w:rPr>
        <w:t>DIRECTORA</w:t>
      </w:r>
      <w:r>
        <w:rPr>
          <w:rFonts w:ascii="Times New Roman" w:hAnsi="Times New Roman"/>
          <w:b w:val="0"/>
          <w:sz w:val="22"/>
        </w:rPr>
        <w:t xml:space="preserve"> en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con el propósito de determinar sus condiciones actuales de uso y conservación dentro de las actividades institucionales.</w:t>
      </w:r>
    </w:p>
    <w:p>
      <w:pPr>
        <w:spacing w:before="0" w:after="12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2. DESARROLLO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En atención al requerimiento realizado, se efectuó una inspección técnica del bien tecnológico asignado, con el propósito de determinar sus condiciones físicas, operativas y de conservación.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Durante la revisión se evaluó el estado general del bien, considerando aspectos relacionados con su utilización, integridad y desempeño dentro de las actividades institucionales.</w:t>
      </w:r>
    </w:p>
    <w:p>
      <w:pPr>
        <w:spacing w:before="0" w:after="80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509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estado_165141448912_Captura_de_pantalla_2026-04-17_1126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509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Asimismo, se corroboró la información de identificación patrimonial mediante la revisión de etiquetas institucionales, números de serie y registros de control correspondientes.</w:t>
      </w:r>
    </w:p>
    <w:p>
      <w:pPr>
        <w:spacing w:before="280" w:after="80"/>
        <w:jc w:val="left"/>
      </w:pPr>
      <w:r>
        <w:rPr>
          <w:rFonts w:ascii="Times New Roman" w:hAnsi="Times New Roman"/>
          <w:b/>
          <w:sz w:val="22"/>
        </w:rPr>
        <w:t>Características e identificación del bien tecnológico</w:t>
      </w:r>
    </w:p>
    <w:p>
      <w:pPr>
        <w:spacing w:before="0" w:after="4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color w:val="003B73"/>
          <w:sz w:val="22"/>
          <w:u w:val="single"/>
        </w:rPr>
        <w:t>CÁMARA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MARCA: </w:t>
      </w:r>
      <w:r>
        <w:rPr>
          <w:rFonts w:ascii="Times New Roman" w:hAnsi="Times New Roman"/>
          <w:sz w:val="20"/>
        </w:rPr>
        <w:t>BROTHER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ESTADO: </w:t>
      </w:r>
      <w:r>
        <w:rPr>
          <w:rFonts w:ascii="Times New Roman" w:hAnsi="Times New Roman"/>
          <w:sz w:val="20"/>
        </w:rPr>
        <w:t>BUENO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MODELO: </w:t>
      </w:r>
      <w:r>
        <w:rPr>
          <w:rFonts w:ascii="Times New Roman" w:hAnsi="Times New Roman"/>
          <w:sz w:val="20"/>
        </w:rPr>
        <w:t>MASDA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CÓDIGO ESBYE: </w:t>
      </w:r>
      <w:r>
        <w:rPr>
          <w:rFonts w:ascii="Times New Roman" w:hAnsi="Times New Roman"/>
          <w:sz w:val="20"/>
        </w:rPr>
        <w:t>ESPBYE</w:t>
      </w:r>
    </w:p>
    <w:p>
      <w:pPr>
        <w:spacing w:before="0" w:after="20"/>
        <w:jc w:val="left"/>
      </w:pPr>
      <w:r>
        <w:rPr>
          <w:rFonts w:ascii="Times New Roman" w:hAnsi="Times New Roman"/>
          <w:b/>
          <w:sz w:val="20"/>
        </w:rPr>
        <w:t xml:space="preserve">NÚMERO DE SERIE: </w:t>
      </w:r>
      <w:r>
        <w:rPr>
          <w:rFonts w:ascii="Times New Roman" w:hAnsi="Times New Roman"/>
          <w:sz w:val="20"/>
        </w:rPr>
        <w:t>1020</w:t>
      </w:r>
    </w:p>
    <w:p>
      <w:pPr>
        <w:spacing w:before="0" w:after="160"/>
        <w:jc w:val="left"/>
      </w:pPr>
      <w:r>
        <w:rPr>
          <w:rFonts w:ascii="Times New Roman" w:hAnsi="Times New Roman"/>
          <w:b/>
          <w:sz w:val="20"/>
        </w:rPr>
        <w:t xml:space="preserve">CÓDIGO ANTERIOR: </w:t>
      </w:r>
      <w:r>
        <w:rPr>
          <w:rFonts w:ascii="Times New Roman" w:hAnsi="Times New Roman"/>
          <w:sz w:val="20"/>
        </w:rPr>
        <w:t>HGFD12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4290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_re_estado_165141451521_Captura_de_pantalla_2026-04-16_12183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0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/>
        <w:jc w:val="both"/>
      </w:pPr>
    </w:p>
    <w:p>
      <w:pPr>
        <w:spacing w:before="120" w:after="160"/>
        <w:jc w:val="left"/>
      </w:pPr>
      <w:r>
        <w:rPr>
          <w:rFonts w:ascii="Times New Roman" w:hAnsi="Times New Roman"/>
          <w:b/>
          <w:sz w:val="22"/>
        </w:rPr>
        <w:t>3. CONCLUSIONES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La inspección realizada permitió determinar las condiciones físicas y operativas del bien tecnológico, evidenciando su estado actual para el desarrollo de las actividades institucionales.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 xml:space="preserve">Como resultado de las acciones efectuadas, se registró el estado del bien tecnológico asignado a </w:t>
      </w:r>
      <w:r>
        <w:rPr>
          <w:rFonts w:ascii="Times New Roman" w:hAnsi="Times New Roman"/>
          <w:b/>
          <w:sz w:val="22"/>
        </w:rPr>
        <w:t>CRISTINA GUADALUPE ARGOTI ARCOS</w:t>
      </w:r>
      <w:r>
        <w:rPr>
          <w:rFonts w:ascii="Times New Roman" w:hAnsi="Times New Roman"/>
          <w:b w:val="0"/>
          <w:sz w:val="22"/>
        </w:rPr>
        <w:t xml:space="preserve">, en su calidad de </w:t>
      </w:r>
      <w:r>
        <w:rPr>
          <w:rFonts w:ascii="Times New Roman" w:hAnsi="Times New Roman"/>
          <w:b/>
          <w:sz w:val="22"/>
        </w:rPr>
        <w:t>DIRECTORA</w:t>
      </w:r>
      <w:r>
        <w:rPr>
          <w:rFonts w:ascii="Times New Roman" w:hAnsi="Times New Roman"/>
          <w:b w:val="0"/>
          <w:sz w:val="22"/>
        </w:rPr>
        <w:t xml:space="preserve"> de la </w:t>
      </w:r>
      <w:r>
        <w:rPr>
          <w:rFonts w:ascii="Times New Roman" w:hAnsi="Times New Roman"/>
          <w:b/>
          <w:sz w:val="22"/>
        </w:rPr>
        <w:t>DIRECCIÓN DE PRONÓSTICOS Y ALERTAS HIDROMETEOROLOÓGICAS</w:t>
      </w:r>
      <w:r>
        <w:rPr>
          <w:rFonts w:ascii="Times New Roman" w:hAnsi="Times New Roman"/>
          <w:b w:val="0"/>
          <w:sz w:val="22"/>
        </w:rPr>
        <w:t>, para los fines administrativos y de control institucional correspondientes.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trHeight w:val="4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ELABORADO POR: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APROBADO POR:</w:t>
            </w:r>
          </w:p>
        </w:tc>
      </w:tr>
      <w:tr>
        <w:trPr>
          <w:trHeight w:val="1800"/>
        </w:trPr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t xml:space="preserve"> </w:t>
            </w:r>
          </w:p>
        </w:tc>
      </w:tr>
      <w:tr>
        <w:trPr>
          <w:trHeight w:val="500"/>
        </w:trPr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ALEJANDRO CUENCA</w:t>
              <w:br/>
              <w:t>TÉCNICO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LUISA</w:t>
              <w:br/>
              <w:t>DIRECTORA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984" w:right="1134" w:bottom="170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40" w:after="0"/>
      <w:jc w:val="center"/>
    </w:pPr>
    <w:r>
      <w:drawing>
        <wp:inline xmlns:a="http://schemas.openxmlformats.org/drawingml/2006/main" xmlns:pic="http://schemas.openxmlformats.org/drawingml/2006/picture">
          <wp:extent cx="5940000" cy="700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pie_pag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00472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40"/>
      <w:jc w:val="center"/>
    </w:pPr>
    <w:r>
      <w:drawing>
        <wp:inline xmlns:a="http://schemas.openxmlformats.org/drawingml/2006/main" xmlns:pic="http://schemas.openxmlformats.org/drawingml/2006/picture">
          <wp:extent cx="5940000" cy="72381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n_encabez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0000" cy="72381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