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4"/>
          <w:szCs w:val="44"/>
        </w:rPr>
        <w:t xml:space="preserve">PROCÉDURE D'UTILISATION</w:t>
      </w:r>
    </w:p>
    <w:p>
      <w:pPr>
        <w:spacing w:after="100" w:before="200"/>
        <w:jc w:val="center"/>
      </w:pPr>
      <w:r>
        <w:rPr>
          <w:color w:val="1F4E79"/>
          <w:sz w:val="30"/>
          <w:szCs w:val="30"/>
        </w:rPr>
        <w:t xml:space="preserve">Outil de nettoyage des certificats Trusty</w:t>
      </w:r>
    </w:p>
    <w:p>
      <w:pPr>
        <w:spacing w:after="800"/>
        <w:jc w:val="center"/>
      </w:pPr>
      <w:r>
        <w:rPr>
          <w:i/>
          <w:iCs/>
          <w:color w:val="595959"/>
          <w:sz w:val="20"/>
          <w:szCs w:val="20"/>
        </w:rPr>
        <w:t xml:space="preserve">Application interne — automatisation de la recherche et du traitement des certificats EJBCA / Trusty</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tblGrid>
      <w:tr>
        <w:tc>
          <w:tcPr>
            <w:tcW w:type="pct" w:w="40%"/>
            <w:tcMar>
              <w:top w:type="dxa" w:w="80"/>
              <w:left w:type="dxa" w:w="120"/>
              <w:bottom w:type="dxa" w:w="80"/>
              <w:right w:type="dxa" w:w="120"/>
            </w:tcMar>
          </w:tcPr>
          <w:p>
            <w:r>
              <w:rPr>
                <w:b/>
                <w:bCs/>
              </w:rPr>
              <w:t xml:space="preserve">Nom de l'outil</w:t>
            </w:r>
          </w:p>
        </w:tc>
        <w:tc>
          <w:tcPr>
            <w:tcW w:type="pct" w:w="60%"/>
            <w:tcMar>
              <w:top w:type="dxa" w:w="80"/>
              <w:left w:type="dxa" w:w="120"/>
              <w:bottom w:type="dxa" w:w="80"/>
              <w:right w:type="dxa" w:w="120"/>
            </w:tcMar>
          </w:tcPr>
          <w:p>
            <w:r>
              <w:t xml:space="preserve">Trusty GUI (nettoyage des certificats)</w:t>
            </w:r>
          </w:p>
        </w:tc>
      </w:tr>
      <w:tr>
        <w:tc>
          <w:tcPr>
            <w:tcMar>
              <w:top w:type="dxa" w:w="80"/>
              <w:left w:type="dxa" w:w="120"/>
              <w:bottom w:type="dxa" w:w="80"/>
              <w:right w:type="dxa" w:w="120"/>
            </w:tcMar>
          </w:tcPr>
          <w:p>
            <w:r>
              <w:rPr>
                <w:b/>
                <w:bCs/>
              </w:rPr>
              <w:t xml:space="preserve">Format</w:t>
            </w:r>
          </w:p>
        </w:tc>
        <w:tc>
          <w:tcPr>
            <w:tcMar>
              <w:top w:type="dxa" w:w="80"/>
              <w:left w:type="dxa" w:w="120"/>
              <w:bottom w:type="dxa" w:w="80"/>
              <w:right w:type="dxa" w:w="120"/>
            </w:tcMar>
          </w:tcPr>
          <w:p>
            <w:r>
              <w:t xml:space="preserve">Exécutable Windows (.exe)</w:t>
            </w:r>
          </w:p>
        </w:tc>
      </w:tr>
      <w:tr>
        <w:tc>
          <w:tcPr>
            <w:tcMar>
              <w:top w:type="dxa" w:w="80"/>
              <w:left w:type="dxa" w:w="120"/>
              <w:bottom w:type="dxa" w:w="80"/>
              <w:right w:type="dxa" w:w="120"/>
            </w:tcMar>
          </w:tcPr>
          <w:p>
            <w:r>
              <w:rPr>
                <w:b/>
                <w:bCs/>
              </w:rPr>
              <w:t xml:space="preserve">Public</w:t>
            </w:r>
          </w:p>
        </w:tc>
        <w:tc>
          <w:tcPr>
            <w:tcMar>
              <w:top w:type="dxa" w:w="80"/>
              <w:left w:type="dxa" w:w="120"/>
              <w:bottom w:type="dxa" w:w="80"/>
              <w:right w:type="dxa" w:w="120"/>
            </w:tcMar>
          </w:tcPr>
          <w:p>
            <w:r>
              <w:t xml:space="preserve">Techniciens de proximité / support IT</w:t>
            </w:r>
          </w:p>
        </w:tc>
      </w:tr>
      <w:tr>
        <w:tc>
          <w:tcPr>
            <w:tcMar>
              <w:top w:type="dxa" w:w="80"/>
              <w:left w:type="dxa" w:w="120"/>
              <w:bottom w:type="dxa" w:w="80"/>
              <w:right w:type="dxa" w:w="120"/>
            </w:tcMar>
          </w:tcPr>
          <w:p>
            <w:r>
              <w:rPr>
                <w:b/>
                <w:bCs/>
              </w:rPr>
              <w:t xml:space="preserve">Version du document</w:t>
            </w:r>
          </w:p>
        </w:tc>
        <w:tc>
          <w:tcPr>
            <w:tcMar>
              <w:top w:type="dxa" w:w="80"/>
              <w:left w:type="dxa" w:w="120"/>
              <w:bottom w:type="dxa" w:w="80"/>
              <w:right w:type="dxa" w:w="120"/>
            </w:tcMar>
          </w:tcPr>
          <w:p>
            <w:r>
              <w:t xml:space="preserve">1.0</w:t>
            </w:r>
          </w:p>
        </w:tc>
      </w:tr>
    </w:tbl>
    <w:p>
      <w:r>
        <w:br w:type="page"/>
      </w:r>
    </w:p>
    <w:p>
      <w:pPr>
        <w:pStyle w:val="Heading1"/>
        <w:pBdr>
          <w:bottom w:val="single" w:color="1F4E79" w:sz="6" w:space="4"/>
        </w:pBdr>
        <w:spacing w:after="140" w:before="320"/>
      </w:pPr>
      <w:r>
        <w:rPr>
          <w:b/>
          <w:bCs/>
          <w:color w:val="1F4E79"/>
        </w:rPr>
        <w:t xml:space="preserve">1. Objet du document</w:t>
      </w:r>
    </w:p>
    <w:p>
      <w:pPr>
        <w:spacing w:after="140"/>
      </w:pPr>
      <w:r>
        <w:t xml:space="preserve">Cette procédure décrit l'installation, la configuration et l'utilisation de l'outil de nettoyage des certificats Trusty. L'outil recherche, pour une liste de hostnames donnée, les certificats correspondants dans l'interface EJBCA / Trusty, en vérifie le statut, et produit un rapport CSV des hostnames traités et non traités.</w:t>
      </w:r>
    </w:p>
    <w:p>
      <w:pPr>
        <w:pStyle w:val="Heading1"/>
        <w:pBdr>
          <w:bottom w:val="single" w:color="1F4E79" w:sz="6" w:space="4"/>
        </w:pBdr>
        <w:spacing w:after="140" w:before="320"/>
      </w:pPr>
      <w:r>
        <w:rPr>
          <w:b/>
          <w:bCs/>
          <w:color w:val="1F4E79"/>
        </w:rPr>
        <w:t xml:space="preserve">2. Prérequis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72"/>
        <w:gridCol w:w="6078"/>
      </w:tblGrid>
      <w:tr>
        <w:tc>
          <w:tcPr>
            <w:tcW w:type="pct" w:w="35%"/>
            <w:shd w:fill="1F4E79" w:val="clear"/>
            <w:tcMar>
              <w:top w:type="dxa" w:w="100"/>
              <w:left w:type="dxa" w:w="120"/>
              <w:bottom w:type="dxa" w:w="100"/>
              <w:right w:type="dxa" w:w="120"/>
            </w:tcMar>
          </w:tcPr>
          <w:p>
            <w:r>
              <w:rPr>
                <w:b/>
                <w:bCs/>
                <w:color w:val="FFFFFF"/>
              </w:rPr>
              <w:t xml:space="preserve">Élément</w:t>
            </w:r>
          </w:p>
        </w:tc>
        <w:tc>
          <w:tcPr>
            <w:tcW w:type="pct" w:w="65%"/>
            <w:shd w:fill="1F4E79" w:val="clear"/>
            <w:tcMar>
              <w:top w:type="dxa" w:w="100"/>
              <w:left w:type="dxa" w:w="120"/>
              <w:bottom w:type="dxa" w:w="100"/>
              <w:right w:type="dxa" w:w="120"/>
            </w:tcMar>
          </w:tcPr>
          <w:p>
            <w:r>
              <w:rPr>
                <w:b/>
                <w:bCs/>
                <w:color w:val="FFFFFF"/>
              </w:rPr>
              <w:t xml:space="preserve">Détail</w:t>
            </w:r>
          </w:p>
        </w:tc>
      </w:tr>
      <w:tr>
        <w:tc>
          <w:tcPr>
            <w:tcW w:type="pct" w:w="35%"/>
            <w:tcMar>
              <w:top w:type="dxa" w:w="100"/>
              <w:left w:type="dxa" w:w="120"/>
              <w:bottom w:type="dxa" w:w="100"/>
              <w:right w:type="dxa" w:w="120"/>
            </w:tcMar>
          </w:tcPr>
          <w:p>
            <w:r>
              <w:rPr>
                <w:b w:val="false"/>
                <w:bCs w:val="false"/>
                <w:color w:val="000000"/>
              </w:rPr>
              <w:t xml:space="preserve">Système</w:t>
            </w:r>
          </w:p>
        </w:tc>
        <w:tc>
          <w:tcPr>
            <w:tcW w:type="pct" w:w="65%"/>
            <w:tcMar>
              <w:top w:type="dxa" w:w="100"/>
              <w:left w:type="dxa" w:w="120"/>
              <w:bottom w:type="dxa" w:w="100"/>
              <w:right w:type="dxa" w:w="120"/>
            </w:tcMar>
          </w:tcPr>
          <w:p>
            <w:r>
              <w:rPr>
                <w:b w:val="false"/>
                <w:bCs w:val="false"/>
                <w:color w:val="000000"/>
              </w:rPr>
              <w:t xml:space="preserve">Windows, avec Google Chrome installé</w:t>
            </w:r>
          </w:p>
        </w:tc>
      </w:tr>
      <w:tr>
        <w:tc>
          <w:tcPr>
            <w:tcW w:type="pct" w:w="35%"/>
            <w:tcMar>
              <w:top w:type="dxa" w:w="100"/>
              <w:left w:type="dxa" w:w="120"/>
              <w:bottom w:type="dxa" w:w="100"/>
              <w:right w:type="dxa" w:w="120"/>
            </w:tcMar>
          </w:tcPr>
          <w:p>
            <w:r>
              <w:rPr>
                <w:b w:val="false"/>
                <w:bCs w:val="false"/>
                <w:color w:val="000000"/>
              </w:rPr>
              <w:t xml:space="preserve">Navigateur</w:t>
            </w:r>
          </w:p>
        </w:tc>
        <w:tc>
          <w:tcPr>
            <w:tcW w:type="pct" w:w="65%"/>
            <w:tcMar>
              <w:top w:type="dxa" w:w="100"/>
              <w:left w:type="dxa" w:w="120"/>
              <w:bottom w:type="dxa" w:w="100"/>
              <w:right w:type="dxa" w:w="120"/>
            </w:tcMar>
          </w:tcPr>
          <w:p>
            <w:r>
              <w:rPr>
                <w:b w:val="false"/>
                <w:bCs w:val="false"/>
                <w:color w:val="000000"/>
              </w:rPr>
              <w:t xml:space="preserve">Google Chrome à jour (version connue avant installation)</w:t>
            </w:r>
          </w:p>
        </w:tc>
      </w:tr>
      <w:tr>
        <w:tc>
          <w:tcPr>
            <w:tcW w:type="pct" w:w="35%"/>
            <w:tcMar>
              <w:top w:type="dxa" w:w="100"/>
              <w:left w:type="dxa" w:w="120"/>
              <w:bottom w:type="dxa" w:w="100"/>
              <w:right w:type="dxa" w:w="120"/>
            </w:tcMar>
          </w:tcPr>
          <w:p>
            <w:r>
              <w:rPr>
                <w:b w:val="false"/>
                <w:bCs w:val="false"/>
                <w:color w:val="000000"/>
              </w:rPr>
              <w:t xml:space="preserve">Pilote</w:t>
            </w:r>
          </w:p>
        </w:tc>
        <w:tc>
          <w:tcPr>
            <w:tcW w:type="pct" w:w="65%"/>
            <w:tcMar>
              <w:top w:type="dxa" w:w="100"/>
              <w:left w:type="dxa" w:w="120"/>
              <w:bottom w:type="dxa" w:w="100"/>
              <w:right w:type="dxa" w:w="120"/>
            </w:tcMar>
          </w:tcPr>
          <w:p>
            <w:r>
              <w:rPr>
                <w:b w:val="false"/>
                <w:bCs w:val="false"/>
                <w:color w:val="000000"/>
              </w:rPr>
              <w:t xml:space="preserve">chromedriver.exe — version identique à celle de Chrome</w:t>
            </w:r>
          </w:p>
        </w:tc>
      </w:tr>
      <w:tr>
        <w:tc>
          <w:tcPr>
            <w:tcW w:type="pct" w:w="35%"/>
            <w:tcMar>
              <w:top w:type="dxa" w:w="100"/>
              <w:left w:type="dxa" w:w="120"/>
              <w:bottom w:type="dxa" w:w="100"/>
              <w:right w:type="dxa" w:w="120"/>
            </w:tcMar>
          </w:tcPr>
          <w:p>
            <w:r>
              <w:rPr>
                <w:b w:val="false"/>
                <w:bCs w:val="false"/>
                <w:color w:val="000000"/>
              </w:rPr>
              <w:t xml:space="preserve">Réseau</w:t>
            </w:r>
          </w:p>
        </w:tc>
        <w:tc>
          <w:tcPr>
            <w:tcW w:type="pct" w:w="65%"/>
            <w:tcMar>
              <w:top w:type="dxa" w:w="100"/>
              <w:left w:type="dxa" w:w="120"/>
              <w:bottom w:type="dxa" w:w="100"/>
              <w:right w:type="dxa" w:w="120"/>
            </w:tcMar>
          </w:tcPr>
          <w:p>
            <w:r>
              <w:rPr>
                <w:b w:val="false"/>
                <w:bCs w:val="false"/>
                <w:color w:val="000000"/>
              </w:rPr>
              <w:t xml:space="preserve">Accès à l'URL Trusty / EJBCA depuis le poste</w:t>
            </w:r>
          </w:p>
        </w:tc>
      </w:tr>
      <w:tr>
        <w:tc>
          <w:tcPr>
            <w:tcW w:type="pct" w:w="35%"/>
            <w:tcMar>
              <w:top w:type="dxa" w:w="100"/>
              <w:left w:type="dxa" w:w="120"/>
              <w:bottom w:type="dxa" w:w="100"/>
              <w:right w:type="dxa" w:w="120"/>
            </w:tcMar>
          </w:tcPr>
          <w:p>
            <w:r>
              <w:rPr>
                <w:b w:val="false"/>
                <w:bCs w:val="false"/>
                <w:color w:val="000000"/>
              </w:rPr>
              <w:t xml:space="preserve">Droits</w:t>
            </w:r>
          </w:p>
        </w:tc>
        <w:tc>
          <w:tcPr>
            <w:tcW w:type="pct" w:w="65%"/>
            <w:tcMar>
              <w:top w:type="dxa" w:w="100"/>
              <w:left w:type="dxa" w:w="120"/>
              <w:bottom w:type="dxa" w:w="100"/>
              <w:right w:type="dxa" w:w="120"/>
            </w:tcMar>
          </w:tcPr>
          <w:p>
            <w:r>
              <w:rPr>
                <w:b w:val="false"/>
                <w:bCs w:val="false"/>
                <w:color w:val="000000"/>
              </w:rPr>
              <w:t xml:space="preserve">Droits d'exécution de l'exécutable et d'écriture dans le dossier de sortie</w:t>
            </w:r>
          </w:p>
        </w:tc>
      </w:tr>
      <w:tr>
        <w:tc>
          <w:tcPr>
            <w:tcW w:type="pct" w:w="35%"/>
            <w:tcMar>
              <w:top w:type="dxa" w:w="100"/>
              <w:left w:type="dxa" w:w="120"/>
              <w:bottom w:type="dxa" w:w="100"/>
              <w:right w:type="dxa" w:w="120"/>
            </w:tcMar>
          </w:tcPr>
          <w:p>
            <w:r>
              <w:rPr>
                <w:b w:val="false"/>
                <w:bCs w:val="false"/>
                <w:color w:val="000000"/>
              </w:rPr>
              <w:t xml:space="preserve">Fichier d'entrée</w:t>
            </w:r>
          </w:p>
        </w:tc>
        <w:tc>
          <w:tcPr>
            <w:tcW w:type="pct" w:w="65%"/>
            <w:tcMar>
              <w:top w:type="dxa" w:w="100"/>
              <w:left w:type="dxa" w:w="120"/>
              <w:bottom w:type="dxa" w:w="100"/>
              <w:right w:type="dxa" w:w="120"/>
            </w:tcMar>
          </w:tcPr>
          <w:p>
            <w:r>
              <w:rPr>
                <w:b w:val="false"/>
                <w:bCs w:val="false"/>
                <w:color w:val="000000"/>
              </w:rPr>
              <w:t xml:space="preserve">Liste des hostnames à traiter (copiée depuis un fichier ou un tableur)</w:t>
            </w:r>
          </w:p>
        </w:tc>
      </w:tr>
    </w:tbl>
    <w:p>
      <w:pPr>
        <w:spacing w:before="160"/>
      </w:pPr>
    </w:p>
    <w:p>
      <w:pPr>
        <w:pStyle w:val="Heading1"/>
        <w:pBdr>
          <w:bottom w:val="single" w:color="1F4E79" w:sz="6" w:space="4"/>
        </w:pBdr>
        <w:spacing w:after="140" w:before="320"/>
      </w:pPr>
      <w:r>
        <w:rPr>
          <w:b/>
          <w:bCs/>
          <w:color w:val="1F4E79"/>
        </w:rPr>
        <w:t xml:space="preserve">3. Installation du poste</w:t>
      </w:r>
    </w:p>
    <w:p>
      <w:pPr>
        <w:pStyle w:val="Heading2"/>
        <w:spacing w:after="100" w:before="220"/>
      </w:pPr>
      <w:r>
        <w:rPr>
          <w:b/>
          <w:bCs/>
          <w:color w:val="1F4E79"/>
        </w:rPr>
        <w:t xml:space="preserve">3.1 Vérifier la version de Google Chrome</w:t>
      </w:r>
    </w:p>
    <w:p>
      <w:pPr>
        <w:pStyle w:val="ListParagraph"/>
        <w:numPr>
          <w:ilvl w:val="0"/>
          <w:numId w:val="2"/>
        </w:numPr>
        <w:spacing w:after="100"/>
      </w:pPr>
      <w:r>
        <w:t xml:space="preserve">Ouvrir Google Chrome.</w:t>
      </w:r>
    </w:p>
    <w:p>
      <w:pPr>
        <w:pStyle w:val="ListParagraph"/>
        <w:numPr>
          <w:ilvl w:val="0"/>
          <w:numId w:val="2"/>
        </w:numPr>
        <w:spacing w:after="100"/>
      </w:pPr>
      <w:r>
        <w:t xml:space="preserve">Aller dans le menu ⋮ → Aide → À propos de Google Chrome (ou saisir chrome://settings/help dans la barre d'adresse).</w:t>
      </w:r>
    </w:p>
    <w:p>
      <w:pPr>
        <w:pStyle w:val="ListParagraph"/>
        <w:numPr>
          <w:ilvl w:val="0"/>
          <w:numId w:val="2"/>
        </w:numPr>
        <w:spacing w:after="100"/>
      </w:pPr>
      <w:r>
        <w:t xml:space="preserve">Noter le numéro de version affiché (exemple : 128.0.6613.120).</w:t>
      </w:r>
    </w:p>
    <w:p>
      <w:pPr>
        <w:pStyle w:val="Heading2"/>
        <w:spacing w:after="100" w:before="220"/>
      </w:pPr>
      <w:r>
        <w:rPr>
          <w:b/>
          <w:bCs/>
          <w:color w:val="1F4E79"/>
        </w:rPr>
        <w:t xml:space="preserve">3.2 Télécharger le chromedriver correspondant</w:t>
      </w:r>
    </w:p>
    <w:p>
      <w:pPr>
        <w:pStyle w:val="ListParagraph"/>
        <w:numPr>
          <w:ilvl w:val="0"/>
          <w:numId w:val="3"/>
        </w:numPr>
        <w:spacing w:after="100"/>
      </w:pPr>
      <w:r>
        <w:t xml:space="preserve">Se rendre sur le site officiel Chrome for Testing : https://googlechromelabs.github.io/chrome-for-testing/</w:t>
      </w:r>
    </w:p>
    <w:p>
      <w:pPr>
        <w:pStyle w:val="ListParagraph"/>
        <w:numPr>
          <w:ilvl w:val="0"/>
          <w:numId w:val="3"/>
        </w:numPr>
        <w:spacing w:after="100"/>
      </w:pPr>
      <w:r>
        <w:t xml:space="preserve">Choisir la version dont les 3 premiers chiffres correspondent à la version de Chrome installée (ex. Chrome 128.x → chromedriver 128.x).</w:t>
      </w:r>
    </w:p>
    <w:p>
      <w:pPr>
        <w:pStyle w:val="ListParagraph"/>
        <w:numPr>
          <w:ilvl w:val="0"/>
          <w:numId w:val="3"/>
        </w:numPr>
        <w:spacing w:after="100"/>
      </w:pPr>
      <w:r>
        <w:t xml:space="preserve">Télécharger le paquet "chromedriver" correspondant à l'architecture Windows (win32 ou win64).</w:t>
      </w:r>
    </w:p>
    <w:p>
      <w:pPr>
        <w:pStyle w:val="ListParagraph"/>
        <w:numPr>
          <w:ilvl w:val="0"/>
          <w:numId w:val="3"/>
        </w:numPr>
        <w:spacing w:after="100"/>
      </w:pPr>
      <w:r>
        <w:t xml:space="preserve">Extraire l'archive et placer chromedriver.exe dans un dossier stable et accessible (ex. C:\Outils\chromedriver\chromedriver.exe), en dehors du Bureau ou de dossiers temporaires.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DCE6F1" w:val="clear"/>
            <w:tcMar>
              <w:top w:type="dxa" w:w="120"/>
              <w:left w:type="dxa" w:w="150"/>
              <w:bottom w:type="dxa" w:w="120"/>
              <w:right w:type="dxa" w:w="150"/>
            </w:tcMar>
          </w:tcPr>
          <w:p>
            <w:pPr>
              <w:spacing w:after="40"/>
            </w:pPr>
            <w:r>
              <w:rPr>
                <w:b/>
                <w:bCs/>
                <w:color w:val="1F4E79"/>
              </w:rPr>
              <w:t xml:space="preserve">Point d'attention</w:t>
            </w:r>
          </w:p>
          <w:p>
            <w:r>
              <w:t xml:space="preserve">Le chromedriver doit correspondre exactement à la version majeure de Chrome installée sur le poste. Un décalage de version provoque une erreur au lancement de l'outil (session non démarrée).</w:t>
            </w:r>
          </w:p>
        </w:tc>
      </w:tr>
    </w:tbl>
    <w:p>
      <w:pPr>
        <w:spacing w:before="160"/>
      </w:pPr>
    </w:p>
    <w:p>
      <w:pPr>
        <w:pStyle w:val="Heading2"/>
        <w:spacing w:after="100" w:before="220"/>
      </w:pPr>
      <w:r>
        <w:rPr>
          <w:b/>
          <w:bCs/>
          <w:color w:val="1F4E79"/>
        </w:rPr>
        <w:t xml:space="preserve">3.3 Installer l'application</w:t>
      </w:r>
    </w:p>
    <w:p>
      <w:pPr>
        <w:pStyle w:val="ListParagraph"/>
        <w:numPr>
          <w:ilvl w:val="0"/>
          <w:numId w:val="4"/>
        </w:numPr>
        <w:spacing w:after="100"/>
      </w:pPr>
      <w:r>
        <w:t xml:space="preserve">Copier le fichier exécutable (.exe) de l'outil sur le poste, par exemple dans C:\Outils\TrustyGUI\.</w:t>
      </w:r>
    </w:p>
    <w:p>
      <w:pPr>
        <w:pStyle w:val="ListParagraph"/>
        <w:numPr>
          <w:ilvl w:val="0"/>
          <w:numId w:val="4"/>
        </w:numPr>
        <w:spacing w:after="100"/>
      </w:pPr>
      <w:r>
        <w:t xml:space="preserve">Aucune installation supplémentaire n'est nécessaire : l'exécutable se lance directement en double-cliquant dessus.</w:t>
      </w:r>
    </w:p>
    <w:p>
      <w:pPr>
        <w:pStyle w:val="ListParagraph"/>
        <w:numPr>
          <w:ilvl w:val="0"/>
          <w:numId w:val="4"/>
        </w:numPr>
        <w:spacing w:after="100"/>
      </w:pPr>
      <w:r>
        <w:t xml:space="preserve">Si Windows SmartScreen affiche un avertissement (exécutable non signé), cliquer sur "Informations complémentaires" puis "Exécuter quand même", ou faire valider l'exécutable par le support IT si la politique de sécurité du poste l'exige.</w:t>
      </w:r>
    </w:p>
    <w:p>
      <w:pPr>
        <w:pStyle w:val="Heading1"/>
        <w:pBdr>
          <w:bottom w:val="single" w:color="1F4E79" w:sz="6" w:space="4"/>
        </w:pBdr>
        <w:spacing w:after="140" w:before="320"/>
      </w:pPr>
      <w:r>
        <w:rPr>
          <w:b/>
          <w:bCs/>
          <w:color w:val="1F4E79"/>
        </w:rPr>
        <w:t xml:space="preserve">4. Premier lancement et configuration</w:t>
      </w:r>
    </w:p>
    <w:p>
      <w:pPr>
        <w:pStyle w:val="ListParagraph"/>
        <w:numPr>
          <w:ilvl w:val="0"/>
          <w:numId w:val="5"/>
        </w:numPr>
        <w:spacing w:after="100"/>
      </w:pPr>
      <w:r>
        <w:t xml:space="preserve">Lancer l'exécutable de l'outil.</w:t>
      </w:r>
    </w:p>
    <w:p>
      <w:pPr>
        <w:pStyle w:val="ListParagraph"/>
        <w:numPr>
          <w:ilvl w:val="0"/>
          <w:numId w:val="5"/>
        </w:numPr>
        <w:spacing w:after="100"/>
      </w:pPr>
      <w:r>
        <w:t xml:space="preserve">Dans le champ "Chemin chromedriver.exe", cliquer sur Parcourir... et sélectionner le fichier chromedriver.exe installé à l'étape 3.2.</w:t>
      </w:r>
    </w:p>
    <w:p>
      <w:pPr>
        <w:pStyle w:val="ListParagraph"/>
        <w:numPr>
          <w:ilvl w:val="0"/>
          <w:numId w:val="5"/>
        </w:numPr>
        <w:spacing w:after="100"/>
      </w:pPr>
      <w:r>
        <w:t xml:space="preserve">Dans le champ "Dossier de sortie CSV", cliquer sur Parcourir... et choisir le dossier où le rapport final sera enregistré.</w:t>
      </w:r>
    </w:p>
    <w:p>
      <w:pPr>
        <w:pStyle w:val="ListParagraph"/>
        <w:numPr>
          <w:ilvl w:val="0"/>
          <w:numId w:val="5"/>
        </w:numPr>
        <w:spacing w:after="100"/>
      </w:pPr>
      <w:r>
        <w:t xml:space="preserve">Ces deux chemins sont mémorisés automatiquement : ils seront pré-remplis au prochain lancement de l'outil.</w:t>
      </w:r>
    </w:p>
    <w:p>
      <w:pPr>
        <w:pStyle w:val="Heading1"/>
        <w:pBdr>
          <w:bottom w:val="single" w:color="1F4E79" w:sz="6" w:space="4"/>
        </w:pBdr>
        <w:spacing w:after="140" w:before="320"/>
      </w:pPr>
      <w:r>
        <w:rPr>
          <w:b/>
          <w:bCs/>
          <w:color w:val="1F4E79"/>
        </w:rPr>
        <w:t xml:space="preserve">5. Utilisation courante</w:t>
      </w:r>
    </w:p>
    <w:p>
      <w:pPr>
        <w:pStyle w:val="ListParagraph"/>
        <w:numPr>
          <w:ilvl w:val="0"/>
          <w:numId w:val="6"/>
        </w:numPr>
        <w:spacing w:after="100"/>
      </w:pPr>
      <w:r>
        <w:t xml:space="preserve">Copier la liste des hostnames à traiter (un hostname par ligne) et la coller dans la zone de texte prévue.</w:t>
      </w:r>
    </w:p>
    <w:p>
      <w:pPr>
        <w:pStyle w:val="ListParagraph"/>
        <w:numPr>
          <w:ilvl w:val="0"/>
          <w:numId w:val="6"/>
        </w:numPr>
        <w:spacing w:after="100"/>
      </w:pPr>
      <w:r>
        <w:t xml:space="preserve">Vérifier que les champs chromedriver et dossier de sortie sont corrects.</w:t>
      </w:r>
    </w:p>
    <w:p>
      <w:pPr>
        <w:pStyle w:val="ListParagraph"/>
        <w:numPr>
          <w:ilvl w:val="0"/>
          <w:numId w:val="6"/>
        </w:numPr>
        <w:spacing w:after="100"/>
      </w:pPr>
      <w:r>
        <w:t xml:space="preserve">Cliquer sur Démarrer. Une fenêtre du navigateur s'ouvre et le traitement démarre automatiquement.</w:t>
      </w:r>
    </w:p>
    <w:p>
      <w:pPr>
        <w:pStyle w:val="ListParagraph"/>
        <w:numPr>
          <w:ilvl w:val="0"/>
          <w:numId w:val="6"/>
        </w:numPr>
        <w:spacing w:after="100"/>
      </w:pPr>
      <w:r>
        <w:t xml:space="preserve">Suivre l'avancement dans l'interface : compteur Total, Restants, Réussis, Échoués, temps écoulé et pourcentage d'avancement.</w:t>
      </w:r>
    </w:p>
    <w:p>
      <w:pPr>
        <w:pStyle w:val="ListParagraph"/>
        <w:numPr>
          <w:ilvl w:val="0"/>
          <w:numId w:val="6"/>
        </w:numPr>
        <w:spacing w:after="100"/>
      </w:pPr>
      <w:r>
        <w:t xml:space="preserve">Le journal en bas de l'écran affiche le détail du traitement hostname par hostname.</w:t>
      </w:r>
    </w:p>
    <w:p>
      <w:pPr>
        <w:pStyle w:val="ListParagraph"/>
        <w:numPr>
          <w:ilvl w:val="0"/>
          <w:numId w:val="6"/>
        </w:numPr>
        <w:spacing w:after="100"/>
      </w:pPr>
      <w:r>
        <w:t xml:space="preserve">En cas de besoin, cliquer sur Arrêter pour interrompre le traitement proprement : le hostname en cours est terminé puis le traitement s'arrête.</w:t>
      </w:r>
    </w:p>
    <w:p>
      <w:pPr>
        <w:pStyle w:val="ListParagraph"/>
        <w:numPr>
          <w:ilvl w:val="0"/>
          <w:numId w:val="6"/>
        </w:numPr>
        <w:spacing w:after="100"/>
      </w:pPr>
      <w:r>
        <w:t xml:space="preserve">À la fin du traitement (ou après un arrêt manuel), un fichier Hostnames_trusty.csv est généré automatiquement dans le dossier de sortie configuré, avec le détail des hostnames traités et non traités.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DCE6F1" w:val="clear"/>
            <w:tcMar>
              <w:top w:type="dxa" w:w="120"/>
              <w:left w:type="dxa" w:w="150"/>
              <w:bottom w:type="dxa" w:w="120"/>
              <w:right w:type="dxa" w:w="150"/>
            </w:tcMar>
          </w:tcPr>
          <w:p>
            <w:pPr>
              <w:spacing w:after="40"/>
            </w:pPr>
            <w:r>
              <w:rPr>
                <w:b/>
                <w:bCs/>
                <w:color w:val="1F4E79"/>
              </w:rPr>
              <w:t xml:space="preserve">Bon à savoir</w:t>
            </w:r>
          </w:p>
          <w:p>
            <w:r>
              <w:t xml:space="preserve">Ne pas fermer la fenêtre du navigateur ouverte par l'outil pendant le traitement : elle est pilotée automatiquement et se ferme seule à la fin ou à l'arrêt du traitement.</w:t>
            </w:r>
          </w:p>
        </w:tc>
      </w:tr>
    </w:tbl>
    <w:p>
      <w:pPr>
        <w:pStyle w:val="Heading1"/>
        <w:pBdr>
          <w:bottom w:val="single" w:color="1F4E79" w:sz="6" w:space="4"/>
        </w:pBdr>
        <w:spacing w:after="140" w:before="320"/>
      </w:pPr>
      <w:r>
        <w:rPr>
          <w:b/>
          <w:bCs/>
          <w:color w:val="1F4E79"/>
        </w:rPr>
        <w:t xml:space="preserve">6. Résolution des incidents courants</w:t>
      </w:r>
    </w:p>
    <w:p>
      <w:pPr>
        <w:spacing w:after="140"/>
      </w:pPr>
      <w:r>
        <w:t xml:space="preserve"/>
      </w:r>
    </w:p>
    <w:p>
      <w:pPr>
        <w:pStyle w:val="ListParagraph"/>
        <w:numPr>
          <w:ilvl w:val="0"/>
          <w:numId w:val="7"/>
        </w:numPr>
        <w:spacing w:after="80"/>
      </w:pPr>
      <w:r>
        <w:rPr>
          <w:b/>
          <w:bCs/>
        </w:rPr>
        <w:t xml:space="preserve">Message "session not created" ou erreur au démarrage : </w:t>
      </w:r>
      <w:r>
        <w:t xml:space="preserve">la version du chromedriver ne correspond pas à la version de Chrome installée. Mettre à jour chromedriver (voir section 7).</w:t>
      </w:r>
    </w:p>
    <w:p>
      <w:pPr>
        <w:pStyle w:val="ListParagraph"/>
        <w:numPr>
          <w:ilvl w:val="0"/>
          <w:numId w:val="7"/>
        </w:numPr>
        <w:spacing w:after="80"/>
      </w:pPr>
      <w:r>
        <w:rPr>
          <w:b/>
          <w:bCs/>
        </w:rPr>
        <w:t xml:space="preserve">Message "Le chemin vers chromedriver.exe est introuvable" : </w:t>
      </w:r>
      <w:r>
        <w:t xml:space="preserve">vérifier le chemin renseigné dans le champ dédié, ou le resélectionner via Parcourir...</w:t>
      </w:r>
    </w:p>
    <w:p>
      <w:pPr>
        <w:pStyle w:val="ListParagraph"/>
        <w:numPr>
          <w:ilvl w:val="0"/>
          <w:numId w:val="7"/>
        </w:numPr>
        <w:spacing w:after="80"/>
      </w:pPr>
      <w:r>
        <w:rPr>
          <w:b/>
          <w:bCs/>
        </w:rPr>
        <w:t xml:space="preserve">L'outil semble bloqué sur un hostname : </w:t>
      </w:r>
      <w:r>
        <w:t xml:space="preserve">vérifier la connexion réseau et l'accès à l'URL Trusty ; utiliser Arrêter puis relancer le traitement sur les hostnames restants si besoin.</w:t>
      </w:r>
    </w:p>
    <w:p>
      <w:pPr>
        <w:pStyle w:val="ListParagraph"/>
        <w:numPr>
          <w:ilvl w:val="0"/>
          <w:numId w:val="7"/>
        </w:numPr>
        <w:spacing w:after="80"/>
      </w:pPr>
      <w:r>
        <w:rPr>
          <w:b/>
          <w:bCs/>
        </w:rPr>
        <w:t xml:space="preserve">Le fichier CSV n'apparaît pas : </w:t>
      </w:r>
      <w:r>
        <w:t xml:space="preserve">vérifier les droits d'écriture sur le dossier de sortie sélectionné, ou en choisir un autre (ex. un dossier personnel local).</w:t>
      </w:r>
    </w:p>
    <w:p>
      <w:pPr>
        <w:pStyle w:val="ListParagraph"/>
        <w:numPr>
          <w:ilvl w:val="0"/>
          <w:numId w:val="7"/>
        </w:numPr>
        <w:spacing w:after="80"/>
      </w:pPr>
      <w:r>
        <w:rPr>
          <w:b/>
          <w:bCs/>
        </w:rPr>
        <w:t xml:space="preserve">Windows SmartScreen bloque l'exécutable : </w:t>
      </w:r>
      <w:r>
        <w:t xml:space="preserve">voir la procédure décrite en section 3.3, ou contacter le support IT si l'exécution reste bloquée par une politique de sécurité.</w:t>
      </w:r>
    </w:p>
    <w:p>
      <w:pPr>
        <w:pStyle w:val="Heading1"/>
        <w:pBdr>
          <w:bottom w:val="single" w:color="1F4E79" w:sz="6" w:space="4"/>
        </w:pBdr>
        <w:spacing w:after="140" w:before="320"/>
      </w:pPr>
      <w:r>
        <w:rPr>
          <w:b/>
          <w:bCs/>
          <w:color w:val="1F4E79"/>
        </w:rPr>
        <w:t xml:space="preserve">7. Mise à jour du chromedriver</w:t>
      </w:r>
    </w:p>
    <w:p>
      <w:pPr>
        <w:spacing w:after="140"/>
      </w:pPr>
      <w:r>
        <w:t xml:space="preserve">Google Chrome se met à jour automatiquement, ce qui peut rendre le chromedriver installé incompatible après une mise à jour. En cas d'erreur de démarrage liée à la version :</w:t>
      </w:r>
    </w:p>
    <w:p>
      <w:pPr>
        <w:pStyle w:val="ListParagraph"/>
        <w:numPr>
          <w:ilvl w:val="0"/>
          <w:numId w:val="8"/>
        </w:numPr>
        <w:spacing w:after="100"/>
      </w:pPr>
      <w:r>
        <w:t xml:space="preserve">Revérifier la version de Chrome installée (section 3.1).</w:t>
      </w:r>
    </w:p>
    <w:p>
      <w:pPr>
        <w:pStyle w:val="ListParagraph"/>
        <w:numPr>
          <w:ilvl w:val="0"/>
          <w:numId w:val="8"/>
        </w:numPr>
        <w:spacing w:after="100"/>
      </w:pPr>
      <w:r>
        <w:t xml:space="preserve">Télécharger la nouvelle version correspondante de chromedriver (section 3.2).</w:t>
      </w:r>
    </w:p>
    <w:p>
      <w:pPr>
        <w:pStyle w:val="ListParagraph"/>
        <w:numPr>
          <w:ilvl w:val="0"/>
          <w:numId w:val="8"/>
        </w:numPr>
        <w:spacing w:after="100"/>
      </w:pPr>
      <w:r>
        <w:t xml:space="preserve">Remplacer l'ancien fichier chromedriver.exe par le nouveau, au même emplacement (ou sélectionner le nouveau chemin dans l'outil via Parcourir...).</w:t>
      </w:r>
    </w:p>
    <w:p>
      <w:pPr>
        <w:pStyle w:val="Heading1"/>
        <w:pBdr>
          <w:bottom w:val="single" w:color="1F4E79" w:sz="6" w:space="4"/>
        </w:pBdr>
        <w:spacing w:after="140" w:before="320"/>
      </w:pPr>
      <w:r>
        <w:rPr>
          <w:b/>
          <w:bCs/>
          <w:color w:val="1F4E79"/>
        </w:rPr>
        <w:t xml:space="preserve">8. Support</w:t>
      </w:r>
    </w:p>
    <w:p>
      <w:pPr>
        <w:spacing w:after="140"/>
      </w:pPr>
      <w:r>
        <w:t xml:space="preserve">Pour toute anomalie non résolue par cette procédure, contacter le support IT interne en précisant : la version de Chrome utilisée, la version du chromedriver installé, et le message d'erreur exact affiché dans le journal de l'outil.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60"/>
      </w:pPr>
    </w:lvl>
  </w:abstractNum>
  <w:abstractNum w:abstractNumId="4" w15:restartNumberingAfterBreak="0">
    <w:multiLevelType w:val="hybridMultilevel"/>
    <w:lvl w:ilvl="0" w15:tentative="1">
      <w:start w:val="1"/>
      <w:numFmt w:val="decimal"/>
      <w:lvlText w:val="%1."/>
      <w:lvlJc w:val="left"/>
      <w:pPr>
        <w:ind w:left="431" w:hanging="360"/>
      </w:pPr>
    </w:lvl>
  </w:abstractNum>
  <w:abstractNum w:abstractNumId="5" w15:restartNumberingAfterBreak="0">
    <w:multiLevelType w:val="hybridMultilevel"/>
    <w:lvl w:ilvl="0" w15:tentative="1">
      <w:start w:val="1"/>
      <w:numFmt w:val="decimal"/>
      <w:lvlText w:val="%1."/>
      <w:lvlJc w:val="left"/>
      <w:pPr>
        <w:ind w:left="431" w:hanging="360"/>
      </w:pPr>
    </w:lvl>
  </w:abstractNum>
  <w:abstractNum w:abstractNumId="6" w15:restartNumberingAfterBreak="0">
    <w:multiLevelType w:val="hybridMultilevel"/>
    <w:lvl w:ilvl="0" w15:tentative="1">
      <w:start w:val="1"/>
      <w:numFmt w:val="decimal"/>
      <w:lvlText w:val="%1."/>
      <w:lvlJc w:val="left"/>
      <w:pPr>
        <w:ind w:left="431" w:hanging="360"/>
      </w:pPr>
    </w:lvl>
  </w:abstractNum>
  <w:abstractNum w:abstractNumId="7" w15:restartNumberingAfterBreak="0">
    <w:multiLevelType w:val="hybridMultilevel"/>
    <w:lvl w:ilvl="0" w15:tentative="1">
      <w:start w:val="1"/>
      <w:numFmt w:val="decimal"/>
      <w:lvlText w:val="%1."/>
      <w:lvlJc w:val="left"/>
      <w:pPr>
        <w:ind w:left="431" w:hanging="360"/>
      </w:pPr>
    </w:lvl>
  </w:abstractNum>
  <w:abstractNum w:abstractNumId="8"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2026-09-11T19:09:11.669Z</dcterms:created>
  <dcterms:modified xsi:type="dcterms:W3CDTF">2026-09-11T19:09:11.670Z</dcterms:modified>
</cp:coreProperties>
</file>

<file path=docProps/custom.xml><?xml version="1.0" encoding="utf-8"?>
<Properties xmlns="http://schemas.openxmlformats.org/officeDocument/2006/custom-properties" xmlns:vt="http://schemas.openxmlformats.org/officeDocument/2006/docPropsVTypes"/>
</file>