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69090" w14:textId="6379F4BC" w:rsidR="00BD3C51" w:rsidRDefault="00BD3C51">
      <w:pPr>
        <w:rPr>
          <w:lang w:val="es-ES"/>
        </w:rPr>
      </w:pPr>
      <w:r>
        <w:rPr>
          <w:lang w:val="es-ES"/>
        </w:rPr>
        <w:t xml:space="preserve">Revisión sabana </w:t>
      </w:r>
      <w:r w:rsidRPr="00BD3C51">
        <w:rPr>
          <w:b/>
          <w:bCs/>
          <w:lang w:val="es-ES"/>
        </w:rPr>
        <w:t>BD</w:t>
      </w:r>
      <w:r>
        <w:rPr>
          <w:lang w:val="es-ES"/>
        </w:rPr>
        <w:t xml:space="preserve"> 130826</w:t>
      </w:r>
    </w:p>
    <w:p w14:paraId="735E5BCF" w14:textId="77777777" w:rsidR="00BD3C51" w:rsidRDefault="00BD3C51">
      <w:pPr>
        <w:rPr>
          <w:lang w:val="es-ES"/>
        </w:rPr>
      </w:pPr>
    </w:p>
    <w:p w14:paraId="38BF176C" w14:textId="3C3B1363" w:rsidR="00634C97" w:rsidRDefault="00BD3C51">
      <w:pPr>
        <w:rPr>
          <w:lang w:val="es-ES"/>
        </w:rPr>
      </w:pPr>
      <w:r>
        <w:rPr>
          <w:lang w:val="es-ES"/>
        </w:rPr>
        <w:t>1. El formato (colores, tipo de letra, etc.) debe adaptarse/ homologarse a los reportes que ya existen en be</w:t>
      </w:r>
      <w:r w:rsidR="00B06B11">
        <w:rPr>
          <w:lang w:val="es-ES"/>
        </w:rPr>
        <w:t>F</w:t>
      </w:r>
      <w:r>
        <w:rPr>
          <w:lang w:val="es-ES"/>
        </w:rPr>
        <w:t>lex 3</w:t>
      </w:r>
      <w:r>
        <w:rPr>
          <w:lang w:val="es-ES"/>
        </w:rPr>
        <w:br/>
      </w:r>
      <w:r>
        <w:rPr>
          <w:lang w:val="es-ES"/>
        </w:rPr>
        <w:br/>
      </w:r>
      <w:r>
        <w:rPr>
          <w:noProof/>
        </w:rPr>
        <w:drawing>
          <wp:inline distT="0" distB="0" distL="0" distR="0" wp14:anchorId="44C8CB1D" wp14:editId="75556710">
            <wp:extent cx="5612130" cy="3156585"/>
            <wp:effectExtent l="0" t="0" r="7620" b="5715"/>
            <wp:docPr id="2099392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92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D483" w14:textId="77777777" w:rsidR="00BD3C51" w:rsidRDefault="00BD3C51">
      <w:pPr>
        <w:rPr>
          <w:lang w:val="es-ES"/>
        </w:rPr>
      </w:pPr>
    </w:p>
    <w:p w14:paraId="5F53A04F" w14:textId="7E94DA85" w:rsidR="0079596F" w:rsidRDefault="00BD3C51">
      <w:pPr>
        <w:rPr>
          <w:lang w:val="es-ES"/>
        </w:rPr>
      </w:pPr>
      <w:r>
        <w:rPr>
          <w:lang w:val="es-ES"/>
        </w:rPr>
        <w:t xml:space="preserve">2. </w:t>
      </w:r>
      <w:r w:rsidR="0079596F">
        <w:rPr>
          <w:lang w:val="es-ES"/>
        </w:rPr>
        <w:t>Se descargo un reporte de bajas</w:t>
      </w:r>
      <w:r w:rsidR="0009431A">
        <w:rPr>
          <w:lang w:val="es-ES"/>
        </w:rPr>
        <w:t xml:space="preserve"> con el parámetro fecha inicial 01/05/2026 y fecha final 13/08/</w:t>
      </w:r>
      <w:proofErr w:type="gramStart"/>
      <w:r w:rsidR="0009431A">
        <w:rPr>
          <w:lang w:val="es-ES"/>
        </w:rPr>
        <w:t xml:space="preserve">2026 </w:t>
      </w:r>
      <w:r w:rsidR="0079596F">
        <w:rPr>
          <w:lang w:val="es-ES"/>
        </w:rPr>
        <w:t>,</w:t>
      </w:r>
      <w:proofErr w:type="gramEnd"/>
      <w:r w:rsidR="0079596F">
        <w:rPr>
          <w:lang w:val="es-ES"/>
        </w:rPr>
        <w:t xml:space="preserve"> pero los empleados que aparecen en el reporte siguen activos</w:t>
      </w:r>
      <w:r w:rsidR="0009431A">
        <w:rPr>
          <w:lang w:val="es-ES"/>
        </w:rPr>
        <w:t>, se tomó la siguiente muestra:</w:t>
      </w:r>
    </w:p>
    <w:p w14:paraId="3A7E4EF6" w14:textId="77777777" w:rsidR="0009431A" w:rsidRDefault="0009431A">
      <w:pPr>
        <w:rPr>
          <w:lang w:val="es-ES"/>
        </w:rPr>
      </w:pPr>
    </w:p>
    <w:p w14:paraId="3C06DC50" w14:textId="5872FC9E" w:rsidR="0009431A" w:rsidRDefault="0009431A">
      <w:pPr>
        <w:rPr>
          <w:lang w:val="es-ES"/>
        </w:rPr>
      </w:pPr>
      <w:r w:rsidRPr="0009431A">
        <w:rPr>
          <w:lang w:val="es-ES"/>
        </w:rPr>
        <w:drawing>
          <wp:inline distT="0" distB="0" distL="0" distR="0" wp14:anchorId="4E521423" wp14:editId="1AB9B35B">
            <wp:extent cx="5612130" cy="1362710"/>
            <wp:effectExtent l="0" t="0" r="7620" b="8890"/>
            <wp:docPr id="1633661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61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B6B8" w14:textId="47F177FE" w:rsidR="0079596F" w:rsidRDefault="0009431A">
      <w:r>
        <w:t xml:space="preserve">Y se reviso en base de datos y los empleados están activos: </w:t>
      </w:r>
    </w:p>
    <w:p w14:paraId="129B8324" w14:textId="4B77E98B" w:rsidR="00B06B11" w:rsidRDefault="0009431A">
      <w:r w:rsidRPr="0009431A">
        <w:lastRenderedPageBreak/>
        <w:drawing>
          <wp:inline distT="0" distB="0" distL="0" distR="0" wp14:anchorId="5247592E" wp14:editId="7433A652">
            <wp:extent cx="5612130" cy="1984375"/>
            <wp:effectExtent l="0" t="0" r="7620" b="0"/>
            <wp:docPr id="116934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4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DB95" w14:textId="77777777" w:rsidR="0079596F" w:rsidRDefault="0079596F"/>
    <w:p w14:paraId="4B7D9F1B" w14:textId="4E45C7B0" w:rsidR="0079596F" w:rsidRDefault="004C7FFE">
      <w:r>
        <w:t>3. ¿</w:t>
      </w:r>
      <w:proofErr w:type="spellStart"/>
      <w:r>
        <w:t>Cual</w:t>
      </w:r>
      <w:proofErr w:type="spellEnd"/>
      <w:r>
        <w:t xml:space="preserve"> es la función del botón confidencial en esta pantalla?, entendiendo que en </w:t>
      </w:r>
      <w:proofErr w:type="spellStart"/>
      <w:r>
        <w:t>beflex</w:t>
      </w:r>
      <w:proofErr w:type="spellEnd"/>
      <w:r>
        <w:t xml:space="preserve"> 2 se utilizaba para determinar si la fecha colocada se usaba como fecha inicial o bien como fecha final.</w:t>
      </w:r>
    </w:p>
    <w:p w14:paraId="3AF6AA97" w14:textId="77777777" w:rsidR="004C7FFE" w:rsidRDefault="004C7FFE"/>
    <w:p w14:paraId="75352E49" w14:textId="1219A984" w:rsidR="004C7FFE" w:rsidRDefault="004C7FFE">
      <w:r w:rsidRPr="004C7FFE">
        <w:drawing>
          <wp:inline distT="0" distB="0" distL="0" distR="0" wp14:anchorId="7D88E452" wp14:editId="4E0C7A1F">
            <wp:extent cx="5612130" cy="2388235"/>
            <wp:effectExtent l="0" t="0" r="7620" b="0"/>
            <wp:docPr id="2035646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46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8E65" w14:textId="77777777" w:rsidR="004C7FFE" w:rsidRDefault="004C7FFE"/>
    <w:p w14:paraId="2A99432D" w14:textId="79DF4E31" w:rsidR="004C7FFE" w:rsidRDefault="004C7FFE">
      <w:r w:rsidRPr="004C7FFE">
        <w:lastRenderedPageBreak/>
        <w:drawing>
          <wp:inline distT="0" distB="0" distL="0" distR="0" wp14:anchorId="06C7AF35" wp14:editId="5AB3CDCD">
            <wp:extent cx="5612130" cy="3000375"/>
            <wp:effectExtent l="0" t="0" r="7620" b="9525"/>
            <wp:docPr id="436944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44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8FCB" w14:textId="77777777" w:rsidR="00B06B11" w:rsidRPr="0079596F" w:rsidRDefault="00B06B11"/>
    <w:sectPr w:rsidR="00B06B11" w:rsidRPr="007959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51"/>
    <w:rsid w:val="0009431A"/>
    <w:rsid w:val="004C7FFE"/>
    <w:rsid w:val="00634C97"/>
    <w:rsid w:val="006511B4"/>
    <w:rsid w:val="0079596F"/>
    <w:rsid w:val="0099795A"/>
    <w:rsid w:val="00B06B11"/>
    <w:rsid w:val="00BD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B5902"/>
  <w15:chartTrackingRefBased/>
  <w15:docId w15:val="{EC0BE157-C0E5-4A17-96BD-4211AC1EF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C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C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C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C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C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C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C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C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C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C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94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Irving</dc:creator>
  <cp:keywords/>
  <dc:description/>
  <cp:lastModifiedBy>Garcia, Irving</cp:lastModifiedBy>
  <cp:revision>1</cp:revision>
  <dcterms:created xsi:type="dcterms:W3CDTF">2026-08-13T23:32:00Z</dcterms:created>
  <dcterms:modified xsi:type="dcterms:W3CDTF">2026-08-14T00:19:00Z</dcterms:modified>
</cp:coreProperties>
</file>