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E4A9" w14:textId="77777777" w:rsidR="00D55A1A" w:rsidRDefault="00000000">
      <w:pPr>
        <w:pStyle w:val="Titulo"/>
      </w:pPr>
      <w:r>
        <w:t>Análisis breve – Incidente de sincronización AXALTA</w:t>
      </w:r>
    </w:p>
    <w:p w14:paraId="34852414" w14:textId="77777777" w:rsidR="00D55A1A" w:rsidRDefault="00000000">
      <w:pPr>
        <w:pStyle w:val="Titulo1"/>
      </w:pPr>
      <w:r>
        <w:t>Evidencia del incidente</w:t>
      </w:r>
    </w:p>
    <w:p w14:paraId="72C5E768" w14:textId="77777777" w:rsidR="00D55A1A" w:rsidRDefault="00000000">
      <w:r>
        <w:t>La sincronización procesó</w:t>
      </w:r>
      <w:r>
        <w:rPr>
          <w:b/>
        </w:rPr>
        <w:t>8 registros: 2 exitosos y 6 con error.</w:t>
      </w:r>
    </w:p>
    <w:tbl>
      <w:tblPr>
        <w:tblW w:w="5000" w:type="pct"/>
        <w:tblInd w:w="120" w:type="dxa"/>
        <w:tblBorders>
          <w:top w:val="single" w:sz="12" w:space="0" w:color="5B9BD5"/>
          <w:left w:val="single" w:sz="12" w:space="0" w:color="5B9BD5"/>
          <w:bottom w:val="single" w:sz="12" w:space="0" w:color="5B9BD5"/>
          <w:right w:val="single" w:sz="12" w:space="0" w:color="5B9BD5"/>
          <w:insideH w:val="nil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050"/>
      </w:tblGrid>
      <w:tr w:rsidR="00D55A1A" w14:paraId="6BE6E575" w14:textId="77777777">
        <w:trPr>
          <w:trHeight w:val="1600"/>
        </w:trPr>
        <w:tc>
          <w:tcPr>
            <w:tcW w:w="5000" w:type="pct"/>
            <w:shd w:val="clear" w:color="auto" w:fill="EAF2F8"/>
          </w:tcPr>
          <w:p w14:paraId="2D4B8050" w14:textId="77777777" w:rsidR="00D55A1A" w:rsidRDefault="00000000">
            <w:pPr>
              <w:spacing w:before="260" w:after="100"/>
              <w:jc w:val="center"/>
            </w:pPr>
            <w:r>
              <w:rPr>
                <w:b/>
                <w:color w:val="17365D"/>
              </w:rPr>
              <w:t>PEGAR PANTALLAZO 1 AQUÍ</w:t>
            </w:r>
          </w:p>
          <w:p w14:paraId="44863688" w14:textId="77777777" w:rsidR="00D55A1A" w:rsidRDefault="00000000">
            <w:pPr>
              <w:jc w:val="center"/>
            </w:pPr>
            <w:r>
              <w:t>Resumen: total 8, exitosos 2 y errores 6.</w:t>
            </w:r>
          </w:p>
        </w:tc>
      </w:tr>
    </w:tbl>
    <w:p w14:paraId="13FDA27B" w14:textId="77777777" w:rsidR="00D55A1A" w:rsidRDefault="00000000">
      <w:pPr>
        <w:spacing w:before="120"/>
      </w:pPr>
      <w:r>
        <w:t xml:space="preserve">Flujo identificado: Middleware AXALTA → servicio WCF .NET → </w:t>
      </w:r>
      <w:proofErr w:type="spellStart"/>
      <w:r>
        <w:t>ff_XCMTitularesAlta_BFS</w:t>
      </w:r>
      <w:proofErr w:type="spellEnd"/>
      <w:r>
        <w:t xml:space="preserve"> → procesos de base de datos.</w:t>
      </w:r>
    </w:p>
    <w:p w14:paraId="044F0E98" w14:textId="77777777" w:rsidR="00D55A1A" w:rsidRDefault="00000000">
      <w:pPr>
        <w:pStyle w:val="Titulo1"/>
      </w:pPr>
      <w:r>
        <w:t>Error presentado</w:t>
      </w:r>
    </w:p>
    <w:p w14:paraId="67EFA2C0" w14:textId="77777777" w:rsidR="00D55A1A" w:rsidRDefault="00000000">
      <w:r>
        <w:t xml:space="preserve">Tres registros de AXALTA, enviados con la empresa 290, fallaron por violación de la llave </w:t>
      </w:r>
      <w:proofErr w:type="spellStart"/>
      <w:r>
        <w:t>primaria</w:t>
      </w:r>
      <w:r>
        <w:rPr>
          <w:b/>
          <w:noProof/>
        </w:rPr>
        <w:t>PK_ff_CompensacionEmpleado</w:t>
      </w:r>
      <w:proofErr w:type="spellEnd"/>
      <w:r>
        <w:t>. Los tres intentaron insertar el identificador 6587011.</w:t>
      </w:r>
    </w:p>
    <w:tbl>
      <w:tblPr>
        <w:tblW w:w="5000" w:type="pct"/>
        <w:tblInd w:w="120" w:type="dxa"/>
        <w:tblBorders>
          <w:top w:val="single" w:sz="12" w:space="0" w:color="5B9BD5"/>
          <w:left w:val="single" w:sz="12" w:space="0" w:color="5B9BD5"/>
          <w:bottom w:val="single" w:sz="12" w:space="0" w:color="5B9BD5"/>
          <w:right w:val="single" w:sz="12" w:space="0" w:color="5B9BD5"/>
          <w:insideH w:val="nil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050"/>
      </w:tblGrid>
      <w:tr w:rsidR="00D55A1A" w14:paraId="3C73A018" w14:textId="77777777">
        <w:trPr>
          <w:trHeight w:val="1600"/>
        </w:trPr>
        <w:tc>
          <w:tcPr>
            <w:tcW w:w="5000" w:type="pct"/>
            <w:shd w:val="clear" w:color="auto" w:fill="EAF2F8"/>
          </w:tcPr>
          <w:p w14:paraId="6F438F2A" w14:textId="77777777" w:rsidR="00D55A1A" w:rsidRDefault="00000000">
            <w:pPr>
              <w:spacing w:before="260" w:after="100"/>
              <w:jc w:val="center"/>
            </w:pPr>
            <w:r>
              <w:rPr>
                <w:b/>
                <w:color w:val="17365D"/>
              </w:rPr>
              <w:t>PEGAR PANTALLAZO 2 AQUÍ</w:t>
            </w:r>
          </w:p>
          <w:p w14:paraId="0DD84249" w14:textId="77777777" w:rsidR="00D55A1A" w:rsidRDefault="00000000">
            <w:pPr>
              <w:jc w:val="center"/>
            </w:pPr>
            <w:r>
              <w:t xml:space="preserve">Errores código 112, </w:t>
            </w:r>
            <w:proofErr w:type="spellStart"/>
            <w:r>
              <w:t>PK_ff_CompensacionEmpleado</w:t>
            </w:r>
            <w:proofErr w:type="spellEnd"/>
            <w:r>
              <w:t xml:space="preserve"> y llave 6587011.</w:t>
            </w:r>
          </w:p>
        </w:tc>
      </w:tr>
    </w:tbl>
    <w:p w14:paraId="3AD18DB0" w14:textId="77777777" w:rsidR="00D55A1A" w:rsidRDefault="00000000">
      <w:pPr>
        <w:pStyle w:val="Titulo1"/>
      </w:pPr>
      <w:r>
        <w:t>Por qué ocurrió</w:t>
      </w:r>
    </w:p>
    <w:p w14:paraId="14357208" w14:textId="77777777" w:rsidR="00D55A1A" w:rsidRDefault="00000000">
      <w:r>
        <w:t xml:space="preserve">Los procesos de compensación generan el identificador </w:t>
      </w:r>
      <w:proofErr w:type="spellStart"/>
      <w:proofErr w:type="gramStart"/>
      <w:r>
        <w:t>mediante</w:t>
      </w:r>
      <w:r>
        <w:rPr>
          <w:b/>
          <w:noProof/>
        </w:rPr>
        <w:t>MAX</w:t>
      </w:r>
      <w:proofErr w:type="spellEnd"/>
      <w:r>
        <w:rPr>
          <w:b/>
          <w:noProof/>
        </w:rPr>
        <w:t>(</w:t>
      </w:r>
      <w:proofErr w:type="gramEnd"/>
      <w:r>
        <w:rPr>
          <w:b/>
          <w:noProof/>
        </w:rPr>
        <w:t>CEIdCompensacionEmpleado) + 1</w:t>
      </w:r>
      <w:r>
        <w:t>. Al procesarse empleados simultáneamente, varias ejecuciones pueden leer el mismo máximo y calcular el mismo identificador. La primera inserción finaliza y las siguientes fallan por llave duplicada.</w:t>
      </w:r>
    </w:p>
    <w:tbl>
      <w:tblPr>
        <w:tblW w:w="5000" w:type="pct"/>
        <w:tblInd w:w="120" w:type="dxa"/>
        <w:tblBorders>
          <w:top w:val="single" w:sz="12" w:space="0" w:color="5B9BD5"/>
          <w:left w:val="single" w:sz="12" w:space="0" w:color="5B9BD5"/>
          <w:bottom w:val="single" w:sz="12" w:space="0" w:color="5B9BD5"/>
          <w:right w:val="single" w:sz="12" w:space="0" w:color="5B9BD5"/>
          <w:insideH w:val="nil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050"/>
      </w:tblGrid>
      <w:tr w:rsidR="00D55A1A" w14:paraId="49EDCF75" w14:textId="77777777">
        <w:trPr>
          <w:trHeight w:val="1600"/>
        </w:trPr>
        <w:tc>
          <w:tcPr>
            <w:tcW w:w="5000" w:type="pct"/>
            <w:shd w:val="clear" w:color="auto" w:fill="EAF2F8"/>
          </w:tcPr>
          <w:p w14:paraId="61644F42" w14:textId="77777777" w:rsidR="00D55A1A" w:rsidRDefault="00000000">
            <w:pPr>
              <w:spacing w:before="260" w:after="100"/>
              <w:jc w:val="center"/>
            </w:pPr>
            <w:r>
              <w:rPr>
                <w:b/>
                <w:color w:val="17365D"/>
              </w:rPr>
              <w:t>PEGAR PANTALLAZO 3 AQUÍ</w:t>
            </w:r>
          </w:p>
          <w:p w14:paraId="60417336" w14:textId="77777777" w:rsidR="00D55A1A" w:rsidRDefault="00000000">
            <w:pPr>
              <w:jc w:val="center"/>
            </w:pPr>
            <w:r>
              <w:t>SP de QA en MAX(</w:t>
            </w:r>
            <w:proofErr w:type="spellStart"/>
            <w:r>
              <w:t>CEIdCompensacionEmpleado</w:t>
            </w:r>
            <w:proofErr w:type="spellEnd"/>
            <w:r>
              <w:t>) + 1 y el INSERT posterior.</w:t>
            </w:r>
          </w:p>
        </w:tc>
      </w:tr>
    </w:tbl>
    <w:p w14:paraId="433CAA79" w14:textId="77777777" w:rsidR="00D55A1A" w:rsidRDefault="00000000">
      <w:pPr>
        <w:spacing w:before="120"/>
      </w:pPr>
      <w:r>
        <w:t xml:space="preserve">Debe confirmarse en QA qué objeto posterior al alta ejecuta el cálculo de compensación, ya que esa relación no aparece directamente en la versión local de </w:t>
      </w:r>
      <w:proofErr w:type="spellStart"/>
      <w:r>
        <w:t>ff_XCMTitularesAlta_BFS</w:t>
      </w:r>
      <w:proofErr w:type="spellEnd"/>
      <w:r>
        <w:t>.</w:t>
      </w:r>
    </w:p>
    <w:p w14:paraId="0964BE2D" w14:textId="77777777" w:rsidR="00D55A1A" w:rsidRDefault="00000000">
      <w:pPr>
        <w:pStyle w:val="Titulo1"/>
      </w:pPr>
      <w:r>
        <w:t>Justificación del cambio</w:t>
      </w:r>
    </w:p>
    <w:p w14:paraId="78E06C22" w14:textId="77777777" w:rsidR="00D55A1A" w:rsidRDefault="00000000">
      <w:r>
        <w:t xml:space="preserve">Se debe </w:t>
      </w:r>
      <w:proofErr w:type="spellStart"/>
      <w:r>
        <w:t>reemplazar</w:t>
      </w:r>
      <w:r>
        <w:rPr>
          <w:b/>
          <w:noProof/>
        </w:rPr>
        <w:t>MAX</w:t>
      </w:r>
      <w:proofErr w:type="spellEnd"/>
      <w:r>
        <w:rPr>
          <w:b/>
          <w:noProof/>
        </w:rPr>
        <w:t xml:space="preserve"> + 1</w:t>
      </w:r>
      <w:r>
        <w:t xml:space="preserve">por </w:t>
      </w:r>
      <w:proofErr w:type="spellStart"/>
      <w:r>
        <w:t>una</w:t>
      </w:r>
      <w:r>
        <w:rPr>
          <w:b/>
          <w:noProof/>
        </w:rPr>
        <w:t>SEQUENCE</w:t>
      </w:r>
      <w:r>
        <w:t>de</w:t>
      </w:r>
      <w:proofErr w:type="spellEnd"/>
      <w:r>
        <w:t xml:space="preserve"> SQL Server en todos los SP activos que insertan en </w:t>
      </w:r>
      <w:proofErr w:type="spellStart"/>
      <w:r>
        <w:t>ff_CompensacionEmpleado</w:t>
      </w:r>
      <w:proofErr w:type="spellEnd"/>
      <w:r>
        <w:t>. La secuencia entrega valores únicos incluso con ejecuciones concurrentes y evita que vuelva a presentarse la violación de llave primaria.</w:t>
      </w:r>
    </w:p>
    <w:p w14:paraId="54A13F80" w14:textId="77777777" w:rsidR="00D55A1A" w:rsidRDefault="00000000">
      <w:r>
        <w:rPr>
          <w:b/>
        </w:rPr>
        <w:t xml:space="preserve">Alcance: base de </w:t>
      </w:r>
      <w:proofErr w:type="spellStart"/>
      <w:proofErr w:type="gramStart"/>
      <w:r>
        <w:rPr>
          <w:b/>
        </w:rPr>
        <w:t>datos.</w:t>
      </w:r>
      <w:r>
        <w:t>No</w:t>
      </w:r>
      <w:proofErr w:type="spellEnd"/>
      <w:proofErr w:type="gramEnd"/>
      <w:r>
        <w:t xml:space="preserve"> se identificó necesidad de modificar Angular ni Java.</w:t>
      </w:r>
    </w:p>
    <w:p w14:paraId="490DE1BF" w14:textId="77777777" w:rsidR="00D55A1A" w:rsidRDefault="00000000">
      <w:r>
        <w:lastRenderedPageBreak/>
        <w:t>Los errores por empresa 0 y perfil vacío son casos independientes de datos o configuración del Middleware; no son la causa de la llave duplicada y no se corrigen con este ajuste.</w:t>
      </w:r>
    </w:p>
    <w:sectPr w:rsidR="00D55A1A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1A"/>
    <w:rsid w:val="000A0315"/>
    <w:rsid w:val="00242602"/>
    <w:rsid w:val="00D5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9FF9"/>
  <w15:docId w15:val="{6354236B-7C52-41C5-AAF4-819C95A7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">
    <w:name w:val="Titulo"/>
    <w:pPr>
      <w:spacing w:after="260"/>
      <w:jc w:val="center"/>
    </w:pPr>
    <w:rPr>
      <w:b/>
      <w:color w:val="17365D"/>
      <w:sz w:val="32"/>
      <w:szCs w:val="32"/>
    </w:rPr>
  </w:style>
  <w:style w:type="paragraph" w:customStyle="1" w:styleId="Titulo1">
    <w:name w:val="Titulo 1"/>
    <w:pPr>
      <w:keepNext/>
      <w:spacing w:before="220" w:after="100"/>
    </w:pPr>
    <w:rPr>
      <w:b/>
      <w:color w:val="17365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266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breve - Incidente de sincronizacion AXALTA</dc:title>
  <dc:subject>Incidente PK_ff_CompensacionEmpleado</dc:subject>
  <dc:creator>Equipo beFlex</dc:creator>
  <cp:lastModifiedBy>eli san</cp:lastModifiedBy>
  <cp:revision>2</cp:revision>
  <dcterms:created xsi:type="dcterms:W3CDTF">2026-10-26T14:42:00Z</dcterms:created>
  <dcterms:modified xsi:type="dcterms:W3CDTF">2026-10-26T14:42:00Z</dcterms:modified>
</cp:coreProperties>
</file>