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FA25" w14:textId="77777777" w:rsidR="002877D5" w:rsidRDefault="002877D5">
      <w:pPr>
        <w:pStyle w:val="Ttulo1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Justificación de Defaulteo en BF3</w:t>
      </w:r>
    </w:p>
    <w:p w14:paraId="6E9A2EE3" w14:textId="77777777" w:rsidR="002877D5" w:rsidRDefault="002877D5">
      <w:pPr>
        <w:divId w:val="1648784597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Correo ejecutivo y anexo técnico · Legacy vs. adaptación y mejora</w:t>
      </w:r>
    </w:p>
    <w:p w14:paraId="2C05A550" w14:textId="77777777" w:rsidR="002877D5" w:rsidRDefault="002877D5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>Documento listo para revisión y envío.</w:t>
      </w:r>
    </w:p>
    <w:p w14:paraId="6FA3C8CC" w14:textId="77777777" w:rsidR="002877D5" w:rsidRDefault="002877D5">
      <w:pPr>
        <w:pStyle w:val="NormalWeb"/>
        <w:divId w:val="696199846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Versión: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1.0</w:t>
      </w:r>
    </w:p>
    <w:p w14:paraId="795B3909" w14:textId="77777777" w:rsidR="002877D5" w:rsidRDefault="002877D5">
      <w:pPr>
        <w:pStyle w:val="NormalWeb"/>
        <w:divId w:val="696199846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Fecha: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27 de agosto de 2026</w:t>
      </w:r>
    </w:p>
    <w:p w14:paraId="3BA80315" w14:textId="77777777" w:rsidR="002877D5" w:rsidRDefault="002877D5">
      <w:pPr>
        <w:pStyle w:val="NormalWeb"/>
        <w:divId w:val="696199846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Responsable: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______________________________</w:t>
      </w:r>
    </w:p>
    <w:p w14:paraId="378B1D5D" w14:textId="77777777" w:rsidR="002877D5" w:rsidRDefault="002877D5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1. Correo propuesto</w:t>
      </w:r>
    </w:p>
    <w:p w14:paraId="6EF23F5D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Style w:val="email-label1"/>
          <w:rFonts w:ascii="Arial" w:hAnsi="Arial" w:cs="Arial"/>
          <w:sz w:val="21"/>
          <w:szCs w:val="21"/>
          <w:lang w:val="es-ES"/>
        </w:rPr>
        <w:t>Asunto sugerido:</w:t>
      </w:r>
      <w:r>
        <w:rPr>
          <w:rFonts w:ascii="Arial" w:hAnsi="Arial" w:cs="Arial"/>
          <w:color w:val="263238"/>
          <w:sz w:val="21"/>
          <w:szCs w:val="21"/>
          <w:lang w:val="es-ES"/>
        </w:rPr>
        <w:br/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Defaulteo en BF3: justificación de la homologación, origen funcional y objetos de base de datos incorporados</w:t>
      </w:r>
    </w:p>
    <w:p w14:paraId="5E75D708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>Buen día,</w:t>
      </w:r>
    </w:p>
    <w:p w14:paraId="69C73EAC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En seguimiento a la integración de Defaulteo en BF3, comparto el alcance con un enfoque centrado en tres preguntas: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qué funcionalidad no estaba cubierta, por qué fue necesario incorporarla y qué elementos de base de datos se crearon o ajustaron para soportarla</w:t>
      </w:r>
      <w:r>
        <w:rPr>
          <w:rFonts w:ascii="Arial" w:hAnsi="Arial" w:cs="Arial"/>
          <w:color w:val="263238"/>
          <w:sz w:val="21"/>
          <w:szCs w:val="21"/>
          <w:lang w:val="es-ES"/>
        </w:rPr>
        <w:t>.</w:t>
      </w:r>
    </w:p>
    <w:p w14:paraId="1BBC347D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1. ¿Qué faltaba?</w:t>
      </w:r>
    </w:p>
    <w:p w14:paraId="1E365762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>El proceso funcional de Defaulteo 1, 2 y 3 ya existía en el sistema B2/legacy. Sin embargo, BF3 no contaba en la nueva ubicación de Administración de Titulares con una operación completa y segura que permitiera seleccionar empleados, ejecutar los tres tipos, continuar el proceso fuera del request HTTP y conservar un folio con el resultado por empleado.</w:t>
      </w:r>
    </w:p>
    <w:p w14:paraId="25C31861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>BF3 sí tenía componentes del motor de planes y creación de solicitudes, pero faltaba la capa de orquestación necesaria para operarlos de forma controlada desde Angular/Java: validación explícita de empresa, empleado y vigencia; prevención de solicitudes duplicadas; procesamiento asincrónico; seguimiento del lote; recuperación después de recargar; y detalle de errores.</w:t>
      </w:r>
    </w:p>
    <w:p w14:paraId="488B098B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2. ¿Cómo se justifica la implementación?</w:t>
      </w:r>
    </w:p>
    <w:p w14:paraId="18F9FE34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La solución no reconstruye el cálculo de Defaulteo ni crea tipos nuevos. Conserva la semántica de B2 y envía al motor vigente de BF3 los indicadores </w:t>
      </w:r>
      <w:r>
        <w:rPr>
          <w:rStyle w:val="CdigoHTML"/>
          <w:color w:val="263238"/>
          <w:lang w:val="es-ES"/>
        </w:rPr>
        <w:t>def1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, </w:t>
      </w:r>
      <w:r>
        <w:rPr>
          <w:rStyle w:val="CdigoHTML"/>
          <w:color w:val="263238"/>
          <w:lang w:val="es-ES"/>
        </w:rPr>
        <w:t>def2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o </w:t>
      </w:r>
      <w:r>
        <w:rPr>
          <w:rStyle w:val="CdigoHTML"/>
          <w:color w:val="263238"/>
          <w:lang w:val="es-ES"/>
        </w:rPr>
        <w:t>def3</w:t>
      </w:r>
      <w:r>
        <w:rPr>
          <w:rFonts w:ascii="Arial" w:hAnsi="Arial" w:cs="Arial"/>
          <w:color w:val="263238"/>
          <w:sz w:val="21"/>
          <w:szCs w:val="21"/>
          <w:lang w:val="es-ES"/>
        </w:rPr>
        <w:t>. De esta manera se reutilizan las reglas actuales de elegibilidad, planes, tarifas, parentescos, coberturas y creación de solicitudes, evitando duplicar lógica de negocio.</w:t>
      </w:r>
    </w:p>
    <w:p w14:paraId="4999C929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>Lo nuevo se concentra en controles operativos y técnicos que el flujo legacy no tenía con este alcance:</w:t>
      </w:r>
    </w:p>
    <w:p w14:paraId="2BC7138C" w14:textId="77777777" w:rsidR="002877D5" w:rsidRDefault="002877D5">
      <w:pPr>
        <w:numPr>
          <w:ilvl w:val="0"/>
          <w:numId w:val="1"/>
        </w:numPr>
        <w:shd w:val="clear" w:color="auto" w:fill="FBFCFD"/>
        <w:spacing w:before="100" w:beforeAutospacing="1" w:after="80"/>
        <w:divId w:val="247231178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selección explícita de empleados y explicación de los tipos 1, 2 y 3;</w:t>
      </w:r>
    </w:p>
    <w:p w14:paraId="0F4599AF" w14:textId="77777777" w:rsidR="002877D5" w:rsidRDefault="002877D5">
      <w:pPr>
        <w:numPr>
          <w:ilvl w:val="0"/>
          <w:numId w:val="1"/>
        </w:numPr>
        <w:shd w:val="clear" w:color="auto" w:fill="FBFCFD"/>
        <w:spacing w:before="100" w:beforeAutospacing="1" w:after="80"/>
        <w:divId w:val="247231178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seguridad mediante JWT y validación de empresas/empleados autorizados;</w:t>
      </w:r>
    </w:p>
    <w:p w14:paraId="7C258E69" w14:textId="77777777" w:rsidR="002877D5" w:rsidRDefault="002877D5">
      <w:pPr>
        <w:numPr>
          <w:ilvl w:val="0"/>
          <w:numId w:val="1"/>
        </w:numPr>
        <w:shd w:val="clear" w:color="auto" w:fill="FBFCFD"/>
        <w:spacing w:before="100" w:beforeAutospacing="1" w:after="80"/>
        <w:divId w:val="247231178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validación de que la vigencia corresponda a la configuración de la empresa;</w:t>
      </w:r>
    </w:p>
    <w:p w14:paraId="47D5490E" w14:textId="77777777" w:rsidR="002877D5" w:rsidRDefault="002877D5">
      <w:pPr>
        <w:numPr>
          <w:ilvl w:val="0"/>
          <w:numId w:val="1"/>
        </w:numPr>
        <w:shd w:val="clear" w:color="auto" w:fill="FBFCFD"/>
        <w:spacing w:before="100" w:beforeAutospacing="1" w:after="80"/>
        <w:divId w:val="247231178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exclusión de titulares con solicitud activa o por autorizar en la vigencia destino;</w:t>
      </w:r>
    </w:p>
    <w:p w14:paraId="5C60821D" w14:textId="77777777" w:rsidR="002877D5" w:rsidRDefault="002877D5">
      <w:pPr>
        <w:numPr>
          <w:ilvl w:val="0"/>
          <w:numId w:val="1"/>
        </w:numPr>
        <w:shd w:val="clear" w:color="auto" w:fill="FBFCFD"/>
        <w:spacing w:before="100" w:beforeAutospacing="1" w:after="80"/>
        <w:divId w:val="247231178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ejecución asincrónica con folio, progreso y recuperación;</w:t>
      </w:r>
    </w:p>
    <w:p w14:paraId="7D6C7F2E" w14:textId="77777777" w:rsidR="002877D5" w:rsidRDefault="002877D5">
      <w:pPr>
        <w:numPr>
          <w:ilvl w:val="0"/>
          <w:numId w:val="1"/>
        </w:numPr>
        <w:shd w:val="clear" w:color="auto" w:fill="FBFCFD"/>
        <w:spacing w:before="100" w:beforeAutospacing="1" w:after="80"/>
        <w:divId w:val="247231178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lastRenderedPageBreak/>
        <w:t>registro durable del lote y errores por empleado.</w:t>
      </w:r>
    </w:p>
    <w:p w14:paraId="4657F016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3. ¿Qué proviene del legacy y qué es mejora?</w:t>
      </w:r>
    </w:p>
    <w:p w14:paraId="36A256E2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>Del legacy se homologan el catálogo y significado de los tres tipos, la selección de empleados, el uso de una vigencia origen/destino, la generación de solicitudes y la necesidad de informar errores. El tipo 3 conserva la restricción de ejecutarse sobre empleados seleccionados. Los PDF y las notificaciones siguen siendo procesos posteriores, porque también estaban separados en B2.</w:t>
      </w:r>
    </w:p>
    <w:p w14:paraId="0CEBDC3E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>Como adaptación/mejora BF3 se agregan la ruta Angular, el control multiempresa, los endpoints seguros, la ejecución en segundo plano, el folio, el progreso, la recuperación y la trazabilidad por empleado. Estas capacidades no cambian el resultado de negocio del motor; hacen que la operación sea segura, observable y compatible con la arquitectura actual.</w:t>
      </w:r>
    </w:p>
    <w:p w14:paraId="4F6CFC95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4. ¿Qué se creó en base de datos?</w:t>
      </w:r>
    </w:p>
    <w:p w14:paraId="2322B39A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Se incorporaron tres tablas de soporte: </w:t>
      </w:r>
      <w:r>
        <w:rPr>
          <w:rStyle w:val="CdigoHTML"/>
          <w:color w:val="263238"/>
          <w:lang w:val="es-ES"/>
        </w:rPr>
        <w:t>bf_ConfiguracionDefaulteo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, </w:t>
      </w:r>
      <w:r>
        <w:rPr>
          <w:rStyle w:val="CdigoHTML"/>
          <w:color w:val="263238"/>
          <w:lang w:val="es-ES"/>
        </w:rPr>
        <w:t>bf_LogDefaulteo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y </w:t>
      </w:r>
      <w:r>
        <w:rPr>
          <w:rStyle w:val="CdigoHTML"/>
          <w:color w:val="263238"/>
          <w:lang w:val="es-ES"/>
        </w:rPr>
        <w:t>bf_LogErroresDefaulteo</w:t>
      </w:r>
      <w:r>
        <w:rPr>
          <w:rFonts w:ascii="Arial" w:hAnsi="Arial" w:cs="Arial"/>
          <w:color w:val="263238"/>
          <w:sz w:val="21"/>
          <w:szCs w:val="21"/>
          <w:lang w:val="es-ES"/>
        </w:rPr>
        <w:t>. Las dos últimas sostienen el folio, estado, totales, duración y eventos por empleado. La primera pertenece a la infraestructura de configuraciones guardadas incluida en el paquete técnico.</w:t>
      </w:r>
    </w:p>
    <w:p w14:paraId="0550DBC3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>También se instalaron procedimientos para iniciar, consultar y finalizar lotes; registrar y descargar eventos; resolver la vigencia; buscar empleados pendientes; y administrar configuraciones. El anexo técnico de este documento detalla cada objeto, su finalidad y clasificación.</w:t>
      </w:r>
    </w:p>
    <w:p w14:paraId="0A0B7FE4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Adicionalmente se ajustaron dos procedimientos existentes de inserción temporal para enviar el parámetro corporativo requerido. Este punto es una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corrección de compatibilidad</w:t>
      </w:r>
      <w:r>
        <w:rPr>
          <w:rFonts w:ascii="Arial" w:hAnsi="Arial" w:cs="Arial"/>
          <w:color w:val="263238"/>
          <w:sz w:val="21"/>
          <w:szCs w:val="21"/>
          <w:lang w:val="es-ES"/>
        </w:rPr>
        <w:t>, no un cambio a las reglas de Defaulteo.</w:t>
      </w:r>
    </w:p>
    <w:p w14:paraId="7635FC35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5. ¿Qué no se modificó?</w:t>
      </w:r>
    </w:p>
    <w:p w14:paraId="101967CE" w14:textId="77777777" w:rsidR="002877D5" w:rsidRDefault="002877D5">
      <w:pPr>
        <w:numPr>
          <w:ilvl w:val="0"/>
          <w:numId w:val="2"/>
        </w:numPr>
        <w:shd w:val="clear" w:color="auto" w:fill="FBFCFD"/>
        <w:spacing w:before="100" w:beforeAutospacing="1" w:after="80"/>
        <w:divId w:val="247231178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No se modificó el proyecto ASP.NET legacy.</w:t>
      </w:r>
    </w:p>
    <w:p w14:paraId="39B008B4" w14:textId="77777777" w:rsidR="002877D5" w:rsidRDefault="002877D5">
      <w:pPr>
        <w:numPr>
          <w:ilvl w:val="0"/>
          <w:numId w:val="2"/>
        </w:numPr>
        <w:shd w:val="clear" w:color="auto" w:fill="FBFCFD"/>
        <w:spacing w:before="100" w:beforeAutospacing="1" w:after="80"/>
        <w:divId w:val="247231178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No se crearon nuevos tipos de Defaulteo.</w:t>
      </w:r>
    </w:p>
    <w:p w14:paraId="314AA414" w14:textId="77777777" w:rsidR="002877D5" w:rsidRDefault="002877D5">
      <w:pPr>
        <w:numPr>
          <w:ilvl w:val="0"/>
          <w:numId w:val="2"/>
        </w:numPr>
        <w:shd w:val="clear" w:color="auto" w:fill="FBFCFD"/>
        <w:spacing w:before="100" w:beforeAutospacing="1" w:after="80"/>
        <w:divId w:val="247231178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No se sustituyó el motor vigente de planes y solicitudes de BF3.</w:t>
      </w:r>
    </w:p>
    <w:p w14:paraId="17856012" w14:textId="77777777" w:rsidR="002877D5" w:rsidRDefault="002877D5">
      <w:pPr>
        <w:numPr>
          <w:ilvl w:val="0"/>
          <w:numId w:val="2"/>
        </w:numPr>
        <w:shd w:val="clear" w:color="auto" w:fill="FBFCFD"/>
        <w:spacing w:before="100" w:beforeAutospacing="1" w:after="80"/>
        <w:divId w:val="247231178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No se acoplaron PDF ni notificaciones al botón de generación.</w:t>
      </w:r>
    </w:p>
    <w:p w14:paraId="72C34CFB" w14:textId="77777777" w:rsidR="002877D5" w:rsidRDefault="002877D5">
      <w:pPr>
        <w:numPr>
          <w:ilvl w:val="0"/>
          <w:numId w:val="2"/>
        </w:numPr>
        <w:shd w:val="clear" w:color="auto" w:fill="FBFCFD"/>
        <w:spacing w:before="100" w:beforeAutospacing="1" w:after="80"/>
        <w:divId w:val="247231178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No se utiliza un procedimiento nuevo para redefinir la elegibilidad; se reutiliza el motor existente.</w:t>
      </w:r>
    </w:p>
    <w:p w14:paraId="496D2D19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>La pantalla vigente se publica en:</w:t>
      </w:r>
    </w:p>
    <w:p w14:paraId="7C67F1EB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Style w:val="CdigoHTML"/>
          <w:color w:val="263238"/>
          <w:lang w:val="es-ES"/>
        </w:rPr>
        <w:t>/pages/administracion/titulares/defaulteo</w:t>
      </w:r>
    </w:p>
    <w:p w14:paraId="3AB8BC68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Como parte de la simplificación reciente, la interfaz actual muestra únicamente la operación guiada. Las opciones independientes de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Filtros avanzados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e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Histórico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fueron retiradas de la navegación visible; esto no cambia la homologación de los tipos 1, 2 y 3 ni la trazabilidad requerida por la ejecución guiada.</w:t>
      </w:r>
    </w:p>
    <w:p w14:paraId="5C20BB52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En conclusión, la entrega debe entenderse como una </w:t>
      </w:r>
      <w:r>
        <w:rPr>
          <w:rStyle w:val="Fuerte"/>
          <w:rFonts w:ascii="Arial" w:hAnsi="Arial" w:cs="Arial"/>
          <w:color w:val="263238"/>
          <w:sz w:val="21"/>
          <w:szCs w:val="21"/>
          <w:lang w:val="es-ES"/>
        </w:rPr>
        <w:t>homologación funcional del proceso legacy apoyada en el motor existente de BF3</w:t>
      </w:r>
      <w:r>
        <w:rPr>
          <w:rFonts w:ascii="Arial" w:hAnsi="Arial" w:cs="Arial"/>
          <w:color w:val="263238"/>
          <w:sz w:val="21"/>
          <w:szCs w:val="21"/>
          <w:lang w:val="es-ES"/>
        </w:rPr>
        <w:t>, complementada por infraestructura nueva de seguridad, orquestación y auditoría. Las tablas y procedimientos nuevos no representan lógica alternativa de beneficios; permiten ejecutar y demostrar el resultado del proceso de manera controlada.</w:t>
      </w:r>
    </w:p>
    <w:p w14:paraId="6EBF14F3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>Quedo atento a sus comentarios.</w:t>
      </w:r>
    </w:p>
    <w:p w14:paraId="33939827" w14:textId="77777777" w:rsidR="002877D5" w:rsidRDefault="002877D5">
      <w:pPr>
        <w:pStyle w:val="NormalWeb"/>
        <w:shd w:val="clear" w:color="auto" w:fill="FBFCFD"/>
        <w:divId w:val="247231178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lastRenderedPageBreak/>
        <w:t>Saludos.</w:t>
      </w:r>
    </w:p>
    <w:p w14:paraId="4040DCF8" w14:textId="77777777" w:rsidR="002877D5" w:rsidRDefault="002877D5">
      <w:pPr>
        <w:pStyle w:val="Ttulo2"/>
        <w:pageBreakBefore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2. Resumen ejecutivo: qué no tenía BF3 y cómo se resolvió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2102"/>
        <w:gridCol w:w="2748"/>
        <w:gridCol w:w="1639"/>
      </w:tblGrid>
      <w:tr w:rsidR="00000000" w14:paraId="5F289722" w14:textId="77777777"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9F6E7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Brecha identificada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1C978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Riesgo o necesidad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ADA5D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Solución incorporada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7C621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Clasificación</w:t>
            </w:r>
          </w:p>
        </w:tc>
      </w:tr>
      <w:tr w:rsidR="00000000" w14:paraId="0FAF8C76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AE791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La nueva ubicación no ofrecía el flujo completo de tipos 1, 2 y 3.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274F2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Dependencia operativa del sistema legacy.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D6EDD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Módulo guiado en Administración de Titulares que utiliza el motor actual de BF3.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EDF4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2CD02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Homologación + adaptación</w:t>
            </w:r>
          </w:p>
        </w:tc>
      </w:tr>
      <w:tr w:rsidR="00000000" w14:paraId="03D2851B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C5053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La ejecución podía permanecer dentro de un request largo.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92689A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Timeout, bloqueo de pantalla o resultado incierto.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3BDBA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Lote asincrónico con folio, estado, progreso y reconexión.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263FB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Adaptación + mejora</w:t>
            </w:r>
          </w:p>
        </w:tc>
      </w:tr>
      <w:tr w:rsidR="00000000" w14:paraId="5914B7BE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90605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No existía un contrato persistente de trazabilidad por lote/empleado.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8C3EA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Dificultad para demostrar qué se procesó y por qué falló.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00902B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Tablas y SP de log general y eventos por empleado.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A7A93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Mejora operativa</w:t>
            </w:r>
          </w:p>
        </w:tc>
      </w:tr>
      <w:tr w:rsidR="00000000" w14:paraId="73B93330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9D668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El contexto multiempresa no podía confiar en IDs del navegador.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031A36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Acceso o ejecución fuera del alcance del administrador.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17FEE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Administrador desde JWT y revalidación de empresas y empleados.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8EEF8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65A008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Adaptación de seguridad</w:t>
            </w:r>
          </w:p>
        </w:tc>
      </w:tr>
      <w:tr w:rsidR="00000000" w14:paraId="37D31FC9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DA1F0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La vigencia podía no corresponder a la configuración de la empresa.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6A4470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Procesamiento contra una vigencia ajena.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044C5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Resolución y validación explícita empresa–vigencia.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8EEF8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EB095E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Control preventivo</w:t>
            </w:r>
          </w:p>
        </w:tc>
      </w:tr>
      <w:tr w:rsidR="00000000" w14:paraId="5EB7D8B4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77242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Los empleados con solicitud activa podían reaparecer como candidatos.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3E176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Intentos duplicados en la misma vigencia.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D4328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Exclusión de solicitudes autorizadas o por autorizar.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8EEF8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646D3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Corrección preventiva</w:t>
            </w:r>
          </w:p>
        </w:tc>
      </w:tr>
      <w:tr w:rsidR="00000000" w14:paraId="3904C8DE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1593E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Dos callers no enviaban el parámetro corporativo requerido.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96FEC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Falla técnica antes o durante la inserción temporal.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786C0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Parche de firma que obtiene y envía </w:t>
            </w:r>
            <w:r>
              <w:rPr>
                <w:rStyle w:val="CdigoHTML"/>
                <w:color w:val="263238"/>
              </w:rPr>
              <w:t>EMIdCorporativo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8EEF8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961AC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Compatibilidad</w:t>
            </w:r>
          </w:p>
        </w:tc>
      </w:tr>
      <w:tr w:rsidR="00000000" w14:paraId="05C27564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ACE22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La ruta debía integrarse sin alterar la pantalla base ni B2.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2ADE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Riesgo de regresión.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5DED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Ruta y menú independientes en Titulares.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3B8BA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Adaptación BF3</w:t>
            </w:r>
          </w:p>
        </w:tc>
      </w:tr>
    </w:tbl>
    <w:p w14:paraId="101E2B30" w14:textId="77777777" w:rsidR="002877D5" w:rsidRDefault="002877D5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3. Origen funcional: legacy, reutilización y mejora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1522"/>
        <w:gridCol w:w="4798"/>
      </w:tblGrid>
      <w:tr w:rsidR="00000000" w14:paraId="4E43AFF2" w14:textId="77777777"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B8A3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1EED0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Origen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53A091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Tratamiento en BF3</w:t>
            </w:r>
          </w:p>
        </w:tc>
      </w:tr>
      <w:tr w:rsidR="00000000" w14:paraId="616878F4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1A58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Catálogo Defaulteo 1, 2 y 3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EDF4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7812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Legacy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3C5C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Se conserva desde </w:t>
            </w:r>
            <w:r>
              <w:rPr>
                <w:rStyle w:val="CdigoHTML"/>
                <w:color w:val="263238"/>
              </w:rPr>
              <w:t>ff_TipoDefaulteo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; no se agregan tipos.</w:t>
            </w:r>
          </w:p>
        </w:tc>
      </w:tr>
      <w:tr w:rsidR="00000000" w14:paraId="3D4E49FF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51210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Tipo 1: conservar selecciones elegibles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EDF4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2DF7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Legacy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357DC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Se homologa enviando </w:t>
            </w:r>
            <w:r>
              <w:rPr>
                <w:rStyle w:val="CdigoHTML"/>
                <w:color w:val="263238"/>
              </w:rPr>
              <w:t>def1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 al motor BF3.</w:t>
            </w:r>
          </w:p>
        </w:tc>
      </w:tr>
      <w:tr w:rsidR="00000000" w14:paraId="797A13A0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9828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Tipo 2: asignar plan básico/espejo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EDF4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0FBB5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Legacy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55567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Se homologa enviando </w:t>
            </w:r>
            <w:r>
              <w:rPr>
                <w:rStyle w:val="CdigoHTML"/>
                <w:color w:val="263238"/>
              </w:rPr>
              <w:t>def2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 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y reutilizando la configuración vigente.</w:t>
            </w:r>
          </w:p>
        </w:tc>
      </w:tr>
      <w:tr w:rsidR="00000000" w14:paraId="3B934B25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FDEB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Tipo 3: recalcular familia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EDF4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F89B7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Legacy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301A8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Se homologa con </w:t>
            </w:r>
            <w:r>
              <w:rPr>
                <w:rStyle w:val="CdigoHTML"/>
                <w:color w:val="263238"/>
              </w:rPr>
              <w:t>def3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 y selección explícita de titulares.</w:t>
            </w:r>
          </w:p>
        </w:tc>
      </w:tr>
      <w:tr w:rsidR="00000000" w14:paraId="58E1F0FD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B69E5D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Elegibilidad, tarifas, planes y coberturas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EE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61A0C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Motor existente BF3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2040B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Se reutiliza; no se reprograma en los objetos nuevos.</w:t>
            </w:r>
          </w:p>
        </w:tc>
      </w:tr>
      <w:tr w:rsidR="00000000" w14:paraId="13CA6243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6EF53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Creación y confirmación de solicitud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EEF8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8460E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Motor existente BF3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44727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Se reutilizan procedimientos ya instalados.</w:t>
            </w:r>
          </w:p>
        </w:tc>
      </w:tr>
      <w:tr w:rsidR="00000000" w14:paraId="53E3D499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85591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Procesamiento asincrónico y folio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67827A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Mejora BF3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56440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Se agrega para evitar timeouts y permitir seguimiento.</w:t>
            </w:r>
          </w:p>
        </w:tc>
      </w:tr>
      <w:tr w:rsidR="00000000" w14:paraId="7A9B3D42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FDA68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Trazabilidad por empleado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AA60B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Mejora BF3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0BACD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Se persiste el detalle de errores y contexto.</w:t>
            </w:r>
          </w:p>
        </w:tc>
      </w:tr>
      <w:tr w:rsidR="00000000" w14:paraId="6417B3C6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A17AC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JWT y validación multiempresa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8EEF8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ADD5A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Adaptación BF3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CAA48D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Equivale al contexto confiable de sesión del legacy dentro de la arquitectura actual.</w:t>
            </w:r>
          </w:p>
        </w:tc>
      </w:tr>
      <w:tr w:rsidR="00000000" w14:paraId="6BFEA583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8AB1C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Exclusión de solicitudes vigentes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8EEF8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95EDC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Control BF3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A90A58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Previene reprocesos no deseados; rechazadas/canceladas pueden volver a aparecer.</w:t>
            </w:r>
          </w:p>
        </w:tc>
      </w:tr>
    </w:tbl>
    <w:p w14:paraId="232080BD" w14:textId="77777777" w:rsidR="002877D5" w:rsidRDefault="002877D5">
      <w:pPr>
        <w:pStyle w:val="Ttulo2"/>
        <w:pageBreakBefore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4. Inventario de objetos de base de datos</w:t>
      </w:r>
    </w:p>
    <w:p w14:paraId="30F786BD" w14:textId="77777777" w:rsidR="002877D5" w:rsidRDefault="002877D5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4.1 Tablas nuevas de soporte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2408"/>
        <w:gridCol w:w="2474"/>
        <w:gridCol w:w="1225"/>
      </w:tblGrid>
      <w:tr w:rsidR="00000000" w14:paraId="4B00EEBC" w14:textId="77777777"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8BD5B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Objeto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5047B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Qué almacena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09B3E7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Por qué fue necesario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7A13A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Origen</w:t>
            </w:r>
          </w:p>
        </w:tc>
      </w:tr>
      <w:tr w:rsidR="00000000" w14:paraId="008BFD0B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D372C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bf_ConfiguracionDefaulteo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6CC8E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Nombre, descripción, administrador, empresa/corporativo, filtros y acciones en JSON.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22719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Soporta configuraciones guardadas del paquete técnico. La pantalla simplificada actual no muestra una pestaña independiente para administrarlas.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2B6C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Mejora BF3</w:t>
            </w:r>
          </w:p>
        </w:tc>
      </w:tr>
      <w:tr w:rsidR="00000000" w14:paraId="52CD0D84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773A4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bf_LogDefaulteo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049BBB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Folio, administrador, empresa, vigencia, totales, fechas, duración, origen y estado.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7084C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Permite iniciar y recuperar un lote aun cuando la petición original ya terminó.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62602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Adaptación + auditoría</w:t>
            </w:r>
          </w:p>
        </w:tc>
      </w:tr>
      <w:tr w:rsidR="00000000" w14:paraId="4147E317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C6549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bf_LogErroresDefaulteo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165D4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Empleado, empresa, perfil, tipo de evento, mensaje, stack y contexto por folio.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069DF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Permite continuar después de un error individual y descargar el detalle.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675F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Mejora operativa</w:t>
            </w:r>
          </w:p>
        </w:tc>
      </w:tr>
    </w:tbl>
    <w:p w14:paraId="7DDFADD6" w14:textId="77777777" w:rsidR="002877D5" w:rsidRDefault="002877D5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El instalador crea además los índices </w:t>
      </w:r>
      <w:r>
        <w:rPr>
          <w:rStyle w:val="CdigoHTML"/>
          <w:color w:val="263238"/>
          <w:lang w:val="es-ES"/>
        </w:rPr>
        <w:t>IX_bf_ConfiguracionDefaulteo_Admin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, </w:t>
      </w:r>
      <w:r>
        <w:rPr>
          <w:rStyle w:val="CdigoHTML"/>
          <w:color w:val="263238"/>
          <w:lang w:val="es-ES"/>
        </w:rPr>
        <w:t>IX_bf_LogDefaulteo_AdminFecha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e </w:t>
      </w:r>
      <w:r>
        <w:rPr>
          <w:rStyle w:val="CdigoHTML"/>
          <w:color w:val="263238"/>
          <w:lang w:val="es-ES"/>
        </w:rPr>
        <w:t>IX_bf_LogErroresDefaulteo_Log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para resolver consultas por administrador, fecha y folio.</w:t>
      </w:r>
    </w:p>
    <w:p w14:paraId="091CEBB3" w14:textId="77777777" w:rsidR="002877D5" w:rsidRDefault="002877D5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4.2 Procedimientos de lotes y trazabilidad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8"/>
        <w:gridCol w:w="3881"/>
        <w:gridCol w:w="1633"/>
      </w:tblGrid>
      <w:tr w:rsidR="00000000" w14:paraId="004C362A" w14:textId="77777777"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AD65E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Procedimiento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EB1A9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Finalidad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26E3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Clasificación</w:t>
            </w:r>
          </w:p>
        </w:tc>
      </w:tr>
      <w:tr w:rsidR="00000000" w14:paraId="4C70E8B7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6A37B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bf_LogDefaulteo_IniciarLote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A5E56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Crea el folio y registra el contexto inicial del lote.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81B105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Nuevo soporte BF3</w:t>
            </w:r>
          </w:p>
        </w:tc>
      </w:tr>
      <w:tr w:rsidR="00000000" w14:paraId="5D7223A1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C9926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bf_LogDefaulteo_RegistrarEvento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C0EBC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Registra errores o eventos asociados a un empleado.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E2A86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Nuevo soporte BF3</w:t>
            </w:r>
          </w:p>
        </w:tc>
      </w:tr>
      <w:tr w:rsidR="00000000" w14:paraId="33259AAF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DC63B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bf_LogDefaulteo_FinalizarLote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3AB11B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Cierra el folio con totales, duración y estado final.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A93365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Nuevo soporte BF3</w:t>
            </w:r>
          </w:p>
        </w:tc>
      </w:tr>
      <w:tr w:rsidR="00000000" w14:paraId="6F045DBF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AC021E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bf_LogDefaulteo_ConsultarLote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A0AD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Devuelve el estado persistido para seguimiento o recuperación.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FDBE9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Nuevo soporte BF3</w:t>
            </w:r>
          </w:p>
        </w:tc>
      </w:tr>
      <w:tr w:rsidR="00000000" w14:paraId="484D0686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8D5C01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bf_LogDefaulteo_ObtenerEventos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F505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Obtiene el detalle usado para consulta o descarga de errores.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988AC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Nuevo soporte BF3</w:t>
            </w:r>
          </w:p>
        </w:tc>
      </w:tr>
    </w:tbl>
    <w:p w14:paraId="4E002CED" w14:textId="77777777" w:rsidR="002877D5" w:rsidRDefault="002877D5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4.3 Procedimientos de seguridad, búsqueda y apoyo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4"/>
        <w:gridCol w:w="1531"/>
        <w:gridCol w:w="1527"/>
        <w:gridCol w:w="2022"/>
      </w:tblGrid>
      <w:tr w:rsidR="00000000" w14:paraId="3F4944A6" w14:textId="77777777"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86FAA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Procedimiento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0B85A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Acción del paquete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5D4E9C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Finalidad y justificación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9D5817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Origen</w:t>
            </w:r>
          </w:p>
        </w:tc>
      </w:tr>
      <w:tr w:rsidR="00000000" w14:paraId="50157ACB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B5A0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bf_DefaulteoAvanzado_ResolverVigencia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1AF5C7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Instala/actualiza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37E61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Valida que la vigencia pertenezca a la configuración de la empresa y obtiene vigencia actual/anterior.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8EEF8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413B9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Control BF3</w:t>
            </w:r>
          </w:p>
        </w:tc>
      </w:tr>
      <w:tr w:rsidR="00000000" w14:paraId="1B055F42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4AEBC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bf_DefaulteoEmpleadosBF3MultivigenciaAvanzado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05F3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Actualiza definición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11FDC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Soporta la búsqueda guiada multivigencia y excluye solicitudes activas o por autorizar.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8EEF8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0302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Adaptación/corrección BF3</w:t>
            </w:r>
          </w:p>
        </w:tc>
      </w:tr>
      <w:tr w:rsidR="00000000" w14:paraId="73D37AB9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414D5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bf_DefaulteoAvanzado_Buscar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00F83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Instala/actualiza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9FF027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Consulta candidatos con filtros controlados y exclusión de solicitudes vigentes.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CE0A8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Adaptación BF3</w:t>
            </w:r>
          </w:p>
        </w:tc>
      </w:tr>
      <w:tr w:rsidR="00000000" w14:paraId="575787DD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8086A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bf_DefaulteoAvanzado_ListarPerfilesEmpresa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079211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Instala/actualiza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B5B8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Lista únicamente perfiles activos de la empresa seleccionada.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FFF6D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45E6E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Apoyo BF3</w:t>
            </w:r>
          </w:p>
        </w:tc>
      </w:tr>
      <w:tr w:rsidR="00000000" w14:paraId="32EA31BA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40452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bf_ReporteDefaulteo_Consultar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6B23A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Instala/actualiza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03F40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Consulta selecciones marcadas con </w:t>
            </w:r>
            <w:r>
              <w:rPr>
                <w:rStyle w:val="CdigoHTML"/>
                <w:color w:val="263238"/>
              </w:rPr>
              <w:t>PODefaulteo=1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 sin depender de la tabla permanente temporal usada por el reporte anterior.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shd w:val="clear" w:color="auto" w:fill="EDF4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74E78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Reporte legacy adaptado</w:t>
            </w:r>
          </w:p>
        </w:tc>
      </w:tr>
    </w:tbl>
    <w:p w14:paraId="5D828822" w14:textId="77777777" w:rsidR="002877D5" w:rsidRDefault="002877D5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4.4 Procedimientos de configuraciones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2322"/>
        <w:gridCol w:w="2895"/>
      </w:tblGrid>
      <w:tr w:rsidR="00000000" w14:paraId="6E0BA2E8" w14:textId="77777777"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D58D7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Procedimiento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61DCD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Finalidad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21851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Observación actual</w:t>
            </w:r>
          </w:p>
        </w:tc>
      </w:tr>
      <w:tr w:rsidR="00000000" w14:paraId="6EA9F3B3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5830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bf_ConfiguracionDefaulteo_Listar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31BC20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Lista configuraciones activas del administrador.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0B0420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Infraestructura del paquete; no se presenta como opción independiente en la pantalla simplificada.</w:t>
            </w:r>
          </w:p>
        </w:tc>
      </w:tr>
      <w:tr w:rsidR="00000000" w14:paraId="4BB6CBA8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6FD16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bf_ConfiguracionDefaulteo_Guardar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7ED91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Crea o actualiza una configuración, aislada por administrador.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18C78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Mejora BF3, no regla del legacy.</w:t>
            </w:r>
          </w:p>
        </w:tc>
      </w:tr>
      <w:tr w:rsidR="00000000" w14:paraId="527196BF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FD3C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bf_ConfiguracionDefaulteo_Eliminar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D75A0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Realiza baja lógica de la configuración.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67BA0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Mejora BF3, no regla del legacy.</w:t>
            </w:r>
          </w:p>
        </w:tc>
      </w:tr>
    </w:tbl>
    <w:p w14:paraId="6AB0ED55" w14:textId="77777777" w:rsidR="002877D5" w:rsidRDefault="002877D5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4.5 Objetos existentes ajustados, no creados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0"/>
        <w:gridCol w:w="3902"/>
        <w:gridCol w:w="1371"/>
        <w:gridCol w:w="1391"/>
      </w:tblGrid>
      <w:tr w:rsidR="00000000" w14:paraId="0770EE21" w14:textId="77777777"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DCED1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Objeto existente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43E1D8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Ajuste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3C04F7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Por qué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976E57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Impacto funcional</w:t>
            </w:r>
          </w:p>
        </w:tc>
      </w:tr>
      <w:tr w:rsidR="00000000" w14:paraId="72E1F516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6C1878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ff_IInsertaPlanesFlexiblesTmp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37B13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Se modifica la llamada a </w:t>
            </w:r>
            <w:r>
              <w:rPr>
                <w:rStyle w:val="CdigoHTML"/>
                <w:color w:val="263238"/>
              </w:rPr>
              <w:t>ff_IInsertaPlanesFlexiblesTmpCreditos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 para enviar </w:t>
            </w:r>
            <w:r>
              <w:rPr>
                <w:rStyle w:val="CdigoHTML"/>
                <w:color w:val="263238"/>
              </w:rPr>
              <w:t>@IdCorporativo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C56CAF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El procedimiento llamado requiere siete parámetros y el caller enviaba seis.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734D0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Ninguno sobre elegibilidad; corrige compatibilidad de firma.</w:t>
            </w:r>
          </w:p>
        </w:tc>
      </w:tr>
      <w:tr w:rsidR="00000000" w14:paraId="0FD4132C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8451EA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ff_IInsertaPlanesFlexiblesTmpTestMultivigenciaBF3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760D7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Mismo ajuste de parámetro corporativo.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AE1FC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Evita falla técnica en flujo multivigencia.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C5E22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Ninguno sobre reglas de negocio.</w:t>
            </w:r>
          </w:p>
        </w:tc>
      </w:tr>
    </w:tbl>
    <w:p w14:paraId="55F04A23" w14:textId="77777777" w:rsidR="002877D5" w:rsidRDefault="002877D5">
      <w:pPr>
        <w:pStyle w:val="Ttulo3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4.6 Datos de menú, no objetos de esquema</w:t>
      </w:r>
    </w:p>
    <w:p w14:paraId="7E5901AB" w14:textId="77777777" w:rsidR="002877D5" w:rsidRDefault="002877D5">
      <w:pPr>
        <w:pStyle w:val="NormalWeb"/>
        <w:rPr>
          <w:rFonts w:ascii="Arial" w:hAnsi="Arial" w:cs="Arial"/>
          <w:color w:val="263238"/>
          <w:sz w:val="21"/>
          <w:szCs w:val="21"/>
          <w:lang w:val="es-ES"/>
        </w:rPr>
      </w:pPr>
      <w:r>
        <w:rPr>
          <w:rFonts w:ascii="Arial" w:hAnsi="Arial" w:cs="Arial"/>
          <w:color w:val="263238"/>
          <w:sz w:val="21"/>
          <w:szCs w:val="21"/>
          <w:lang w:val="es-ES"/>
        </w:rPr>
        <w:t xml:space="preserve">Para la empresa 186 y el rol 570, el script de menú reutiliza o inserta una fila en </w:t>
      </w:r>
      <w:r>
        <w:rPr>
          <w:rStyle w:val="CdigoHTML"/>
          <w:color w:val="263238"/>
          <w:lang w:val="es-ES"/>
        </w:rPr>
        <w:t>ff_Menu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con la ruta </w:t>
      </w:r>
      <w:r>
        <w:rPr>
          <w:rStyle w:val="CdigoHTML"/>
          <w:color w:val="263238"/>
          <w:lang w:val="es-ES"/>
        </w:rPr>
        <w:t>administracion/titulares/defaulteo</w:t>
      </w:r>
      <w:r>
        <w:rPr>
          <w:rFonts w:ascii="Arial" w:hAnsi="Arial" w:cs="Arial"/>
          <w:color w:val="263238"/>
          <w:sz w:val="21"/>
          <w:szCs w:val="21"/>
          <w:lang w:val="es-ES"/>
        </w:rPr>
        <w:t xml:space="preserve"> y reutiliza o inserta su relación en </w:t>
      </w:r>
      <w:r>
        <w:rPr>
          <w:rStyle w:val="CdigoHTML"/>
          <w:color w:val="263238"/>
          <w:lang w:val="es-ES"/>
        </w:rPr>
        <w:t>ff_MenuRol2</w:t>
      </w:r>
      <w:r>
        <w:rPr>
          <w:rFonts w:ascii="Arial" w:hAnsi="Arial" w:cs="Arial"/>
          <w:color w:val="263238"/>
          <w:sz w:val="21"/>
          <w:szCs w:val="21"/>
          <w:lang w:val="es-ES"/>
        </w:rPr>
        <w:t>. No crea tablas ni modifica el modelo de seguridad; configura datos dentro del esquema ya existente.</w:t>
      </w:r>
    </w:p>
    <w:p w14:paraId="37A1FEF9" w14:textId="77777777" w:rsidR="002877D5" w:rsidRDefault="002877D5">
      <w:pPr>
        <w:pStyle w:val="Ttulo2"/>
        <w:pageBreakBefore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5. Objetos funcionales reutilizados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5562"/>
        <w:gridCol w:w="1949"/>
      </w:tblGrid>
      <w:tr w:rsidR="00000000" w14:paraId="697F56C7" w14:textId="77777777"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F680D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Grupo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7B382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Objetos principales</w:t>
            </w:r>
          </w:p>
        </w:tc>
        <w:tc>
          <w:tcPr>
            <w:tcW w:w="0" w:type="auto"/>
            <w:tcBorders>
              <w:top w:val="single" w:sz="6" w:space="0" w:color="0B73A8"/>
              <w:left w:val="single" w:sz="6" w:space="0" w:color="0B73A8"/>
              <w:bottom w:val="single" w:sz="6" w:space="0" w:color="0B73A8"/>
              <w:right w:val="single" w:sz="6" w:space="0" w:color="0B73A8"/>
            </w:tcBorders>
            <w:shd w:val="clear" w:color="auto" w:fill="0B73A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E5492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Uso</w:t>
            </w:r>
          </w:p>
        </w:tc>
      </w:tr>
      <w:tr w:rsidR="00000000" w14:paraId="1A8F8A1A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10627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Catálogo y contexto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C5FBA8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ff_TipoDefaulteo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, </w:t>
            </w:r>
            <w:r>
              <w:rPr>
                <w:rStyle w:val="CdigoHTML"/>
                <w:color w:val="263238"/>
              </w:rPr>
              <w:t>ff_Empleado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, </w:t>
            </w:r>
            <w:r>
              <w:rPr>
                <w:rStyle w:val="CdigoHTML"/>
                <w:color w:val="263238"/>
              </w:rPr>
              <w:t>ff_Empresa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, </w:t>
            </w:r>
            <w:r>
              <w:rPr>
                <w:rStyle w:val="CdigoHTML"/>
                <w:color w:val="263238"/>
              </w:rPr>
              <w:t>ff_Perfil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, </w:t>
            </w:r>
            <w:r>
              <w:rPr>
                <w:rStyle w:val="CdigoHTML"/>
                <w:color w:val="263238"/>
              </w:rPr>
              <w:t>ff_Vigencia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42EAD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Tipos, titulares, empresas, perfiles y vigencias existentes.</w:t>
            </w:r>
          </w:p>
        </w:tc>
      </w:tr>
      <w:tr w:rsidR="00000000" w14:paraId="1B1A8170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B1C677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Planes y selecciones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76D7E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ff_PlanBasico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, </w:t>
            </w:r>
            <w:r>
              <w:rPr>
                <w:rStyle w:val="CdigoHTML"/>
                <w:color w:val="263238"/>
              </w:rPr>
              <w:t>ff_PlanOpcionSeleccion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, </w:t>
            </w:r>
            <w:r>
              <w:rPr>
                <w:rStyle w:val="CdigoHTML"/>
                <w:color w:val="263238"/>
              </w:rPr>
              <w:t>ff_CBuscaPlanesPerfil_V31Test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, </w:t>
            </w:r>
            <w:r>
              <w:rPr>
                <w:rStyle w:val="CdigoHTML"/>
                <w:color w:val="263238"/>
              </w:rPr>
              <w:t>ff_CBuscaPlanesPerfil_V31TesMultivigenciaBF3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D03F55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Elegibilidad, planes y cálculo que determina las opciones aplicables.</w:t>
            </w:r>
          </w:p>
        </w:tc>
      </w:tr>
      <w:tr w:rsidR="00000000" w14:paraId="65A15CFF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46C31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Persistencia temporal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7911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ff_IInsertaPlanesPerfilTmp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, </w:t>
            </w:r>
            <w:r>
              <w:rPr>
                <w:rStyle w:val="CdigoHTML"/>
                <w:color w:val="263238"/>
              </w:rPr>
              <w:t>ff_IInsertaPlanesPerfilTmpTestMultivigenciaBF3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 y variantes aplicables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5A11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Registra temporalmente las selecciones calculadas.</w:t>
            </w:r>
          </w:p>
        </w:tc>
      </w:tr>
      <w:tr w:rsidR="00000000" w14:paraId="3D60BD8F" w14:textId="77777777"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98F9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Solicitud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62504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Style w:val="CdigoHTML"/>
                <w:color w:val="263238"/>
              </w:rPr>
              <w:t>ff_CreateSolicitudTest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, </w:t>
            </w:r>
            <w:r>
              <w:rPr>
                <w:rStyle w:val="CdigoHTML"/>
                <w:color w:val="263238"/>
              </w:rPr>
              <w:t>bf_ValidaSolicitudExistente2</w:t>
            </w: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 xml:space="preserve">, </w:t>
            </w:r>
            <w:r>
              <w:rPr>
                <w:rStyle w:val="CdigoHTML"/>
                <w:color w:val="263238"/>
              </w:rPr>
              <w:t>ff_Solicitud</w:t>
            </w:r>
          </w:p>
        </w:tc>
        <w:tc>
          <w:tcPr>
            <w:tcW w:w="0" w:type="auto"/>
            <w:tcBorders>
              <w:top w:val="single" w:sz="6" w:space="0" w:color="CAD6DC"/>
              <w:left w:val="single" w:sz="6" w:space="0" w:color="CAD6DC"/>
              <w:bottom w:val="single" w:sz="6" w:space="0" w:color="CAD6DC"/>
              <w:right w:val="single" w:sz="6" w:space="0" w:color="CAD6D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6D4DB" w14:textId="77777777" w:rsidR="002877D5" w:rsidRDefault="002877D5">
            <w:pPr>
              <w:spacing w:before="160" w:after="280"/>
              <w:rPr>
                <w:rFonts w:ascii="Arial" w:eastAsia="Times New Roman" w:hAnsi="Arial" w:cs="Arial"/>
                <w:color w:val="263238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263238"/>
                <w:sz w:val="18"/>
                <w:szCs w:val="18"/>
              </w:rPr>
              <w:t>Crea y confirma la solicitud resultante.</w:t>
            </w:r>
          </w:p>
        </w:tc>
      </w:tr>
    </w:tbl>
    <w:p w14:paraId="4354F549" w14:textId="77777777" w:rsidR="002877D5" w:rsidRDefault="002877D5">
      <w:pPr>
        <w:shd w:val="clear" w:color="auto" w:fill="EEF7FB"/>
        <w:spacing w:before="200" w:after="200"/>
        <w:divId w:val="342367726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Lectura correcta: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estos objetos no fueron creados por la nueva infraestructura de lotes. Se reutilizan como núcleo funcional, por lo que las reglas de negocio permanecen en el motor vigente.</w:t>
      </w:r>
    </w:p>
    <w:p w14:paraId="2D52BF4C" w14:textId="77777777" w:rsidR="002877D5" w:rsidRDefault="002877D5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6. Qué no debe presentarse como “nuevo”</w:t>
      </w:r>
    </w:p>
    <w:p w14:paraId="5A818EEA" w14:textId="77777777" w:rsidR="002877D5" w:rsidRDefault="002877D5">
      <w:pPr>
        <w:numPr>
          <w:ilvl w:val="0"/>
          <w:numId w:val="3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El significado de los tipos 1, 2 y 3 proviene del proceso legacy.</w:t>
      </w:r>
    </w:p>
    <w:p w14:paraId="37548BB6" w14:textId="77777777" w:rsidR="002877D5" w:rsidRDefault="002877D5">
      <w:pPr>
        <w:numPr>
          <w:ilvl w:val="0"/>
          <w:numId w:val="3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El cálculo de planes, tarifas, coberturas y elegibilidad pertenece al motor existente de BF3.</w:t>
      </w:r>
    </w:p>
    <w:p w14:paraId="4180A3C0" w14:textId="77777777" w:rsidR="002877D5" w:rsidRDefault="002877D5">
      <w:pPr>
        <w:numPr>
          <w:ilvl w:val="0"/>
          <w:numId w:val="3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La creación de solicitudes ya estaba disponible en BF3.</w:t>
      </w:r>
    </w:p>
    <w:p w14:paraId="7F16E665" w14:textId="77777777" w:rsidR="002877D5" w:rsidRDefault="002877D5">
      <w:pPr>
        <w:numPr>
          <w:ilvl w:val="0"/>
          <w:numId w:val="3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El histórico funcional tenía antecedente en un reporte separado del legacy; el SP BF3 es una adaptación técnica.</w:t>
      </w:r>
    </w:p>
    <w:p w14:paraId="2C91B53E" w14:textId="77777777" w:rsidR="002877D5" w:rsidRDefault="002877D5">
      <w:pPr>
        <w:numPr>
          <w:ilvl w:val="0"/>
          <w:numId w:val="3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El menú utiliza las tablas de seguridad existentes; sólo agrega o corrige registros de configuración.</w:t>
      </w:r>
    </w:p>
    <w:p w14:paraId="6CE2CB6F" w14:textId="77777777" w:rsidR="002877D5" w:rsidRDefault="002877D5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7. Qué sí debe presentarse como mejora o adaptación</w:t>
      </w:r>
    </w:p>
    <w:p w14:paraId="53A35F34" w14:textId="77777777" w:rsidR="002877D5" w:rsidRDefault="002877D5">
      <w:pPr>
        <w:numPr>
          <w:ilvl w:val="0"/>
          <w:numId w:val="4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La nueva ruta Angular dentro de Administración de Titulares.</w:t>
      </w:r>
    </w:p>
    <w:p w14:paraId="3D882DB9" w14:textId="77777777" w:rsidR="002877D5" w:rsidRDefault="002877D5">
      <w:pPr>
        <w:numPr>
          <w:ilvl w:val="0"/>
          <w:numId w:val="4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La operación guiada y la explicación visible de cada tipo.</w:t>
      </w:r>
    </w:p>
    <w:p w14:paraId="2C4EF843" w14:textId="77777777" w:rsidR="002877D5" w:rsidRDefault="002877D5">
      <w:pPr>
        <w:numPr>
          <w:ilvl w:val="0"/>
          <w:numId w:val="4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El control JWT y multiempresa.</w:t>
      </w:r>
    </w:p>
    <w:p w14:paraId="6C96E4F3" w14:textId="77777777" w:rsidR="002877D5" w:rsidRDefault="002877D5">
      <w:pPr>
        <w:numPr>
          <w:ilvl w:val="0"/>
          <w:numId w:val="4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La validación explícita empresa–vigencia.</w:t>
      </w:r>
    </w:p>
    <w:p w14:paraId="73DA2A79" w14:textId="77777777" w:rsidR="002877D5" w:rsidRDefault="002877D5">
      <w:pPr>
        <w:numPr>
          <w:ilvl w:val="0"/>
          <w:numId w:val="4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El procesamiento en segundo plano y la recuperación por folio.</w:t>
      </w:r>
    </w:p>
    <w:p w14:paraId="139C48E3" w14:textId="77777777" w:rsidR="002877D5" w:rsidRDefault="002877D5">
      <w:pPr>
        <w:numPr>
          <w:ilvl w:val="0"/>
          <w:numId w:val="4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La trazabilidad durable de lote y errores por empleado.</w:t>
      </w:r>
    </w:p>
    <w:p w14:paraId="6DA4F9B7" w14:textId="77777777" w:rsidR="002877D5" w:rsidRDefault="002877D5">
      <w:pPr>
        <w:numPr>
          <w:ilvl w:val="0"/>
          <w:numId w:val="4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La exclusión preventiva de solicitudes activas o por autorizar.</w:t>
      </w:r>
    </w:p>
    <w:p w14:paraId="6D0CC5BB" w14:textId="77777777" w:rsidR="002877D5" w:rsidRDefault="002877D5">
      <w:pPr>
        <w:numPr>
          <w:ilvl w:val="0"/>
          <w:numId w:val="4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La corrección del parámetro corporativo en los callers existentes.</w:t>
      </w:r>
    </w:p>
    <w:p w14:paraId="1E0A98A3" w14:textId="77777777" w:rsidR="002877D5" w:rsidRDefault="002877D5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8. Consideraciones de despliegue y validación</w:t>
      </w:r>
    </w:p>
    <w:p w14:paraId="178E68E1" w14:textId="77777777" w:rsidR="002877D5" w:rsidRDefault="002877D5">
      <w:pPr>
        <w:numPr>
          <w:ilvl w:val="0"/>
          <w:numId w:val="5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Respaldar las definiciones actuales de los procedimientos que serán actualizados.</w:t>
      </w:r>
    </w:p>
    <w:p w14:paraId="4D5A340A" w14:textId="77777777" w:rsidR="002877D5" w:rsidRDefault="002877D5">
      <w:pPr>
        <w:numPr>
          <w:ilvl w:val="0"/>
          <w:numId w:val="5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Ejecutar los scripts en orden y en la misma base utilizada por WSBeFlex.</w:t>
      </w:r>
    </w:p>
    <w:p w14:paraId="188B353C" w14:textId="77777777" w:rsidR="002877D5" w:rsidRDefault="002877D5">
      <w:pPr>
        <w:numPr>
          <w:ilvl w:val="0"/>
          <w:numId w:val="5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Verificar que las tres tablas y sus columnas coincidan con el contrato esperado. El instalador se detiene si encuentra una tabla homónima incompatible.</w:t>
      </w:r>
    </w:p>
    <w:p w14:paraId="2F85EADB" w14:textId="77777777" w:rsidR="002877D5" w:rsidRDefault="002877D5">
      <w:pPr>
        <w:numPr>
          <w:ilvl w:val="0"/>
          <w:numId w:val="5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Validar los procedimientos reutilizados antes de ejecutar casos funcionales.</w:t>
      </w:r>
    </w:p>
    <w:p w14:paraId="3F8FA5E8" w14:textId="77777777" w:rsidR="002877D5" w:rsidRDefault="002877D5">
      <w:pPr>
        <w:numPr>
          <w:ilvl w:val="0"/>
          <w:numId w:val="5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Probar un empleado por tipo y conservar el folio.</w:t>
      </w:r>
    </w:p>
    <w:p w14:paraId="04DC80AA" w14:textId="77777777" w:rsidR="002877D5" w:rsidRDefault="002877D5">
      <w:pPr>
        <w:numPr>
          <w:ilvl w:val="0"/>
          <w:numId w:val="5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Confirmar solicitud en la vigencia destino y marca </w:t>
      </w:r>
      <w:r>
        <w:rPr>
          <w:rStyle w:val="CdigoHTML"/>
          <w:color w:val="263238"/>
          <w:lang w:val="es-ES"/>
        </w:rPr>
        <w:t>PODefaulteo=1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.</w:t>
      </w:r>
    </w:p>
    <w:p w14:paraId="1A40A2E5" w14:textId="77777777" w:rsidR="002877D5" w:rsidRDefault="002877D5">
      <w:pPr>
        <w:numPr>
          <w:ilvl w:val="0"/>
          <w:numId w:val="5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Repetir la búsqueda y comprobar que el empleado correcto desaparezca de pendientes.</w:t>
      </w:r>
    </w:p>
    <w:p w14:paraId="3CB5FA51" w14:textId="77777777" w:rsidR="002877D5" w:rsidRDefault="002877D5">
      <w:pPr>
        <w:numPr>
          <w:ilvl w:val="0"/>
          <w:numId w:val="5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>Comprobar que los errores queden asociados al folio y puedan descargarse.</w:t>
      </w:r>
    </w:p>
    <w:p w14:paraId="2C50C813" w14:textId="77777777" w:rsidR="002877D5" w:rsidRDefault="002877D5">
      <w:pPr>
        <w:shd w:val="clear" w:color="auto" w:fill="FFF7E5"/>
        <w:spacing w:before="200" w:after="200"/>
        <w:divId w:val="751008486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Alcance actual de interfaz: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la pantalla vigente muestra la operación guiada. No debe comunicarse al usuario final que existen pestañas independientes de Filtros avanzados o Histórico.</w:t>
      </w:r>
    </w:p>
    <w:p w14:paraId="321841CB" w14:textId="77777777" w:rsidR="002877D5" w:rsidRDefault="002877D5">
      <w:pPr>
        <w:pStyle w:val="Ttulo2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9. Evidencia técnica utilizada</w:t>
      </w:r>
    </w:p>
    <w:p w14:paraId="67A0C7C2" w14:textId="77777777" w:rsidR="002877D5" w:rsidRDefault="002877D5">
      <w:pPr>
        <w:numPr>
          <w:ilvl w:val="0"/>
          <w:numId w:val="6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CdigoHTML"/>
          <w:color w:val="263238"/>
          <w:lang w:val="es-ES"/>
        </w:rPr>
        <w:t>database/002_reporte_historico_defaulteo.sql</w:t>
      </w:r>
    </w:p>
    <w:p w14:paraId="1E1C5477" w14:textId="77777777" w:rsidR="002877D5" w:rsidRDefault="002877D5">
      <w:pPr>
        <w:numPr>
          <w:ilvl w:val="0"/>
          <w:numId w:val="6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CdigoHTML"/>
          <w:color w:val="263238"/>
          <w:lang w:val="es-ES"/>
        </w:rPr>
        <w:t>database/003_seguridad_y_vigencia_defaulteo_avanzado.sql</w:t>
      </w:r>
    </w:p>
    <w:p w14:paraId="3FE11DCA" w14:textId="77777777" w:rsidR="002877D5" w:rsidRDefault="002877D5">
      <w:pPr>
        <w:numPr>
          <w:ilvl w:val="0"/>
          <w:numId w:val="6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CdigoHTML"/>
          <w:color w:val="263238"/>
          <w:lang w:val="es-ES"/>
        </w:rPr>
        <w:t>database/005_compatibilidad_idcorporativo_inserta_planes.sql</w:t>
      </w:r>
    </w:p>
    <w:p w14:paraId="3A40AFF1" w14:textId="77777777" w:rsidR="002877D5" w:rsidRDefault="002877D5">
      <w:pPr>
        <w:numPr>
          <w:ilvl w:val="0"/>
          <w:numId w:val="6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CdigoHTML"/>
          <w:color w:val="263238"/>
          <w:lang w:val="es-ES"/>
        </w:rPr>
        <w:t>database/006_exclusion_solicitudes_generadas_defaulteo.sql</w:t>
      </w:r>
    </w:p>
    <w:p w14:paraId="5EAA770F" w14:textId="77777777" w:rsidR="002877D5" w:rsidRDefault="002877D5">
      <w:pPr>
        <w:numPr>
          <w:ilvl w:val="0"/>
          <w:numId w:val="6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CdigoHTML"/>
          <w:color w:val="263238"/>
          <w:lang w:val="es-ES"/>
        </w:rPr>
        <w:t>database/007_infraestructura_lotes_defaulteo.sql</w:t>
      </w:r>
    </w:p>
    <w:p w14:paraId="4CA6515E" w14:textId="77777777" w:rsidR="002877D5" w:rsidRDefault="002877D5">
      <w:pPr>
        <w:numPr>
          <w:ilvl w:val="0"/>
          <w:numId w:val="6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CdigoHTML"/>
          <w:color w:val="263238"/>
          <w:lang w:val="es-ES"/>
        </w:rPr>
        <w:t>insumos/CONFIGURAR_MENU_DEFAULTEO_EMPRESA_186.sql</w:t>
      </w:r>
    </w:p>
    <w:p w14:paraId="238C519A" w14:textId="77777777" w:rsidR="002877D5" w:rsidRDefault="002877D5">
      <w:pPr>
        <w:numPr>
          <w:ilvl w:val="0"/>
          <w:numId w:val="6"/>
        </w:numPr>
        <w:spacing w:before="100" w:beforeAutospacing="1" w:after="8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CdigoHTML"/>
          <w:color w:val="263238"/>
          <w:lang w:val="es-ES"/>
        </w:rPr>
        <w:t>insumos/ANALISIS_HOMOLOGACION_DEFAULTEO_1_2_3_LEGACY_VS_BF3_20260826.md</w:t>
      </w:r>
    </w:p>
    <w:p w14:paraId="59233B3D" w14:textId="77777777" w:rsidR="002877D5" w:rsidRDefault="002877D5">
      <w:pPr>
        <w:shd w:val="clear" w:color="auto" w:fill="EEF8F0"/>
        <w:spacing w:before="200" w:after="200"/>
        <w:divId w:val="371617820"/>
        <w:rPr>
          <w:rFonts w:ascii="Arial" w:eastAsia="Times New Roman" w:hAnsi="Arial" w:cs="Arial"/>
          <w:color w:val="263238"/>
          <w:sz w:val="21"/>
          <w:szCs w:val="21"/>
          <w:lang w:val="es-ES"/>
        </w:rPr>
      </w:pPr>
      <w:r>
        <w:rPr>
          <w:rStyle w:val="Fuerte"/>
          <w:rFonts w:ascii="Arial" w:eastAsia="Times New Roman" w:hAnsi="Arial" w:cs="Arial"/>
          <w:color w:val="263238"/>
          <w:sz w:val="21"/>
          <w:szCs w:val="21"/>
          <w:lang w:val="es-ES"/>
        </w:rPr>
        <w:t>Conclusión:</w:t>
      </w:r>
      <w:r>
        <w:rPr>
          <w:rFonts w:ascii="Arial" w:eastAsia="Times New Roman" w:hAnsi="Arial" w:cs="Arial"/>
          <w:color w:val="263238"/>
          <w:sz w:val="21"/>
          <w:szCs w:val="21"/>
          <w:lang w:val="es-ES"/>
        </w:rPr>
        <w:t xml:space="preserve"> el valor de la entrega no está en crear otro motor de Defaulteo, sino en llevar el comportamiento probado del legacy a BF3, reutilizar el motor vigente y añadir los controles de seguridad, continuidad y auditoría que requiere la operación moderna.</w:t>
      </w:r>
    </w:p>
    <w:sectPr w:rsidR="002877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F1339"/>
    <w:multiLevelType w:val="multilevel"/>
    <w:tmpl w:val="0A5C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8A119A"/>
    <w:multiLevelType w:val="multilevel"/>
    <w:tmpl w:val="DCDE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021EF5"/>
    <w:multiLevelType w:val="multilevel"/>
    <w:tmpl w:val="925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35493"/>
    <w:multiLevelType w:val="multilevel"/>
    <w:tmpl w:val="BC5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1E5370"/>
    <w:multiLevelType w:val="multilevel"/>
    <w:tmpl w:val="6DB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76FEE"/>
    <w:multiLevelType w:val="multilevel"/>
    <w:tmpl w:val="9828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52754">
    <w:abstractNumId w:val="0"/>
  </w:num>
  <w:num w:numId="2" w16cid:durableId="1785879438">
    <w:abstractNumId w:val="2"/>
  </w:num>
  <w:num w:numId="3" w16cid:durableId="182866081">
    <w:abstractNumId w:val="1"/>
  </w:num>
  <w:num w:numId="4" w16cid:durableId="888495836">
    <w:abstractNumId w:val="4"/>
  </w:num>
  <w:num w:numId="5" w16cid:durableId="1769504106">
    <w:abstractNumId w:val="5"/>
  </w:num>
  <w:num w:numId="6" w16cid:durableId="1341665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49F"/>
    <w:rsid w:val="0012149F"/>
    <w:rsid w:val="002877D5"/>
    <w:rsid w:val="0064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5734DA"/>
  <w15:chartTrackingRefBased/>
  <w15:docId w15:val="{BA4E4968-C0FF-408A-8D1C-CF9873AB4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160"/>
      <w:outlineLvl w:val="0"/>
    </w:pPr>
    <w:rPr>
      <w:b/>
      <w:bCs/>
      <w:color w:val="0B73A8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4" w:color="B9D5E3"/>
      </w:pBdr>
      <w:spacing w:before="400" w:after="100" w:afterAutospacing="1"/>
      <w:outlineLvl w:val="1"/>
    </w:pPr>
    <w:rPr>
      <w:b/>
      <w:bCs/>
      <w:color w:val="0B73A8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280" w:after="100" w:afterAutospacing="1"/>
      <w:outlineLvl w:val="2"/>
    </w:pPr>
    <w:rPr>
      <w:b/>
      <w:bCs/>
      <w:color w:val="234452"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1F3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6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60"/>
    </w:pPr>
  </w:style>
  <w:style w:type="paragraph" w:customStyle="1" w:styleId="cover">
    <w:name w:val="cover"/>
    <w:basedOn w:val="Normal"/>
    <w:pPr>
      <w:spacing w:before="100" w:beforeAutospacing="1" w:after="80"/>
      <w:jc w:val="center"/>
    </w:pPr>
  </w:style>
  <w:style w:type="paragraph" w:customStyle="1" w:styleId="email">
    <w:name w:val="email"/>
    <w:basedOn w:val="Normal"/>
    <w:pPr>
      <w:pBdr>
        <w:top w:val="single" w:sz="6" w:space="16" w:color="B7C8D0"/>
        <w:left w:val="single" w:sz="6" w:space="16" w:color="B7C8D0"/>
        <w:bottom w:val="single" w:sz="6" w:space="16" w:color="B7C8D0"/>
        <w:right w:val="single" w:sz="6" w:space="16" w:color="B7C8D0"/>
      </w:pBdr>
      <w:shd w:val="clear" w:color="auto" w:fill="FBFCFD"/>
      <w:spacing w:before="100" w:beforeAutospacing="1" w:after="80"/>
    </w:pPr>
  </w:style>
  <w:style w:type="paragraph" w:customStyle="1" w:styleId="email-label">
    <w:name w:val="email-label"/>
    <w:basedOn w:val="Normal"/>
    <w:pPr>
      <w:spacing w:before="100" w:beforeAutospacing="1" w:after="80"/>
    </w:pPr>
    <w:rPr>
      <w:b/>
      <w:bCs/>
      <w:color w:val="0B73A8"/>
    </w:rPr>
  </w:style>
  <w:style w:type="paragraph" w:customStyle="1" w:styleId="notice">
    <w:name w:val="notice"/>
    <w:basedOn w:val="Normal"/>
    <w:pPr>
      <w:pBdr>
        <w:left w:val="single" w:sz="24" w:space="12" w:color="0B73A8"/>
      </w:pBdr>
      <w:shd w:val="clear" w:color="auto" w:fill="EEF7FB"/>
      <w:spacing w:before="200" w:after="200"/>
    </w:pPr>
  </w:style>
  <w:style w:type="paragraph" w:customStyle="1" w:styleId="warning">
    <w:name w:val="warning"/>
    <w:basedOn w:val="Normal"/>
    <w:pPr>
      <w:pBdr>
        <w:left w:val="single" w:sz="24" w:space="12" w:color="D98B00"/>
      </w:pBdr>
      <w:shd w:val="clear" w:color="auto" w:fill="FFF7E5"/>
      <w:spacing w:before="200" w:after="200"/>
    </w:pPr>
  </w:style>
  <w:style w:type="paragraph" w:customStyle="1" w:styleId="success">
    <w:name w:val="success"/>
    <w:basedOn w:val="Normal"/>
    <w:pPr>
      <w:pBdr>
        <w:left w:val="single" w:sz="24" w:space="12" w:color="2F8F46"/>
      </w:pBdr>
      <w:shd w:val="clear" w:color="auto" w:fill="EEF8F0"/>
      <w:spacing w:before="200" w:after="200"/>
    </w:pPr>
  </w:style>
  <w:style w:type="paragraph" w:customStyle="1" w:styleId="legacy">
    <w:name w:val="legacy"/>
    <w:basedOn w:val="Normal"/>
    <w:pPr>
      <w:shd w:val="clear" w:color="auto" w:fill="EDF4FB"/>
      <w:spacing w:before="100" w:beforeAutospacing="1" w:after="80"/>
    </w:pPr>
  </w:style>
  <w:style w:type="paragraph" w:customStyle="1" w:styleId="reuse">
    <w:name w:val="reuse"/>
    <w:basedOn w:val="Normal"/>
    <w:pPr>
      <w:shd w:val="clear" w:color="auto" w:fill="EEF8F0"/>
      <w:spacing w:before="100" w:beforeAutospacing="1" w:after="80"/>
    </w:pPr>
  </w:style>
  <w:style w:type="paragraph" w:customStyle="1" w:styleId="new">
    <w:name w:val="new"/>
    <w:basedOn w:val="Normal"/>
    <w:pPr>
      <w:shd w:val="clear" w:color="auto" w:fill="FFF6DF"/>
      <w:spacing w:before="100" w:beforeAutospacing="1" w:after="80"/>
    </w:pPr>
  </w:style>
  <w:style w:type="paragraph" w:customStyle="1" w:styleId="fix">
    <w:name w:val="fix"/>
    <w:basedOn w:val="Normal"/>
    <w:pPr>
      <w:shd w:val="clear" w:color="auto" w:fill="F8EEF8"/>
      <w:spacing w:before="100" w:beforeAutospacing="1" w:after="80"/>
    </w:pPr>
  </w:style>
  <w:style w:type="paragraph" w:customStyle="1" w:styleId="page-break">
    <w:name w:val="page-break"/>
    <w:basedOn w:val="Normal"/>
    <w:pPr>
      <w:pageBreakBefore/>
      <w:spacing w:before="100" w:beforeAutospacing="1" w:after="80"/>
    </w:pPr>
  </w:style>
  <w:style w:type="paragraph" w:customStyle="1" w:styleId="small">
    <w:name w:val="small"/>
    <w:basedOn w:val="Normal"/>
    <w:pPr>
      <w:spacing w:before="100" w:beforeAutospacing="1" w:after="80"/>
    </w:pPr>
    <w:rPr>
      <w:color w:val="607D8B"/>
      <w:sz w:val="17"/>
      <w:szCs w:val="17"/>
    </w:rPr>
  </w:style>
  <w:style w:type="paragraph" w:customStyle="1" w:styleId="subtitle">
    <w:name w:val="subtitle"/>
    <w:basedOn w:val="Normal"/>
    <w:pPr>
      <w:spacing w:before="100" w:beforeAutospacing="1" w:after="80"/>
    </w:pPr>
  </w:style>
  <w:style w:type="paragraph" w:customStyle="1" w:styleId="meta">
    <w:name w:val="meta"/>
    <w:basedOn w:val="Normal"/>
    <w:pPr>
      <w:spacing w:before="100" w:beforeAutospacing="1" w:after="80"/>
    </w:pPr>
  </w:style>
  <w:style w:type="paragraph" w:customStyle="1" w:styleId="subtitle1">
    <w:name w:val="subtitle1"/>
    <w:basedOn w:val="Normal"/>
    <w:pPr>
      <w:spacing w:before="200" w:after="900"/>
    </w:pPr>
    <w:rPr>
      <w:color w:val="53666F"/>
      <w:sz w:val="28"/>
      <w:szCs w:val="28"/>
    </w:rPr>
  </w:style>
  <w:style w:type="paragraph" w:customStyle="1" w:styleId="meta1">
    <w:name w:val="meta1"/>
    <w:basedOn w:val="Normal"/>
    <w:pPr>
      <w:pBdr>
        <w:top w:val="single" w:sz="18" w:space="15" w:color="0B73A8"/>
      </w:pBdr>
      <w:spacing w:before="100" w:after="160"/>
    </w:pPr>
    <w:rPr>
      <w:color w:val="53666F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email-label1">
    <w:name w:val="email-label1"/>
    <w:basedOn w:val="Fuentedeprrafopredeter"/>
    <w:rPr>
      <w:b/>
      <w:bCs/>
      <w:color w:val="0B73A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31178">
      <w:marLeft w:val="0"/>
      <w:marRight w:val="0"/>
      <w:marTop w:val="0"/>
      <w:marBottom w:val="0"/>
      <w:divBdr>
        <w:top w:val="single" w:sz="6" w:space="16" w:color="B7C8D0"/>
        <w:left w:val="single" w:sz="6" w:space="16" w:color="B7C8D0"/>
        <w:bottom w:val="single" w:sz="6" w:space="16" w:color="B7C8D0"/>
        <w:right w:val="single" w:sz="6" w:space="16" w:color="B7C8D0"/>
      </w:divBdr>
    </w:div>
    <w:div w:id="342367726">
      <w:marLeft w:val="0"/>
      <w:marRight w:val="0"/>
      <w:marTop w:val="200"/>
      <w:marBottom w:val="200"/>
      <w:divBdr>
        <w:top w:val="none" w:sz="0" w:space="0" w:color="auto"/>
        <w:left w:val="single" w:sz="24" w:space="12" w:color="0B73A8"/>
        <w:bottom w:val="none" w:sz="0" w:space="0" w:color="auto"/>
        <w:right w:val="none" w:sz="0" w:space="0" w:color="auto"/>
      </w:divBdr>
    </w:div>
    <w:div w:id="371617820">
      <w:marLeft w:val="0"/>
      <w:marRight w:val="0"/>
      <w:marTop w:val="200"/>
      <w:marBottom w:val="200"/>
      <w:divBdr>
        <w:top w:val="none" w:sz="0" w:space="0" w:color="auto"/>
        <w:left w:val="single" w:sz="24" w:space="12" w:color="2F8F46"/>
        <w:bottom w:val="none" w:sz="0" w:space="0" w:color="auto"/>
        <w:right w:val="none" w:sz="0" w:space="0" w:color="auto"/>
      </w:divBdr>
    </w:div>
    <w:div w:id="696199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8486">
      <w:marLeft w:val="0"/>
      <w:marRight w:val="0"/>
      <w:marTop w:val="200"/>
      <w:marBottom w:val="200"/>
      <w:divBdr>
        <w:top w:val="none" w:sz="0" w:space="0" w:color="auto"/>
        <w:left w:val="single" w:sz="24" w:space="12" w:color="D98B00"/>
        <w:bottom w:val="none" w:sz="0" w:space="0" w:color="auto"/>
        <w:right w:val="none" w:sz="0" w:space="0" w:color="auto"/>
      </w:divBdr>
    </w:div>
    <w:div w:id="1648784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2329</Words>
  <Characters>12813</Characters>
  <Application>Microsoft Office Word</Application>
  <DocSecurity>4</DocSecurity>
  <Lines>106</Lines>
  <Paragraphs>30</Paragraphs>
  <ScaleCrop>false</ScaleCrop>
  <Company/>
  <LinksUpToDate>false</LinksUpToDate>
  <CharactersWithSpaces>15112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Correo ejecutivo - Justificación de Defaulteo en BF3</dc:title>
  <dc:subject/>
  <dc:creator>eli san</dc:creator>
  <cp:keywords/>
  <dc:description/>
  <cp:lastModifiedBy>eli san</cp:lastModifiedBy>
  <cp:revision>2</cp:revision>
  <dcterms:created xsi:type="dcterms:W3CDTF">2026-08-27T06:44:00Z</dcterms:created>
  <dcterms:modified xsi:type="dcterms:W3CDTF">2026-08-27T06:44:00Z</dcterms:modified>
</cp:coreProperties>
</file>