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BAA3" w14:textId="62844A2A" w:rsidR="00B90209" w:rsidRDefault="00D32EB0" w:rsidP="00D32EB0">
      <w:pPr>
        <w:pBdr>
          <w:bottom w:val="single" w:sz="4" w:space="1" w:color="CDD5DF"/>
        </w:pBdr>
        <w:shd w:val="clear" w:color="auto" w:fill="F3F5F7"/>
        <w:spacing w:after="280"/>
        <w:rPr>
          <w:b/>
          <w:color w:val="16324F"/>
          <w:sz w:val="24"/>
        </w:rPr>
      </w:pPr>
      <w:r>
        <w:rPr>
          <w:b/>
          <w:color w:val="16324F"/>
          <w:sz w:val="24"/>
        </w:rPr>
        <w:t>Asunto: Resultado de correcciones y validación B3 – Sábana de beneficios y Cobranza</w:t>
      </w:r>
    </w:p>
    <w:p w14:paraId="03E91169" w14:textId="1F4DABC2" w:rsidR="00D32EB0" w:rsidRDefault="00D32EB0" w:rsidP="00D32EB0">
      <w:r>
        <w:t>Buen día,</w:t>
      </w:r>
    </w:p>
    <w:p w14:paraId="2F9676A1" w14:textId="6EFF2D0B" w:rsidR="00D32EB0" w:rsidRDefault="00D32EB0" w:rsidP="00D32EB0">
      <w:r>
        <w:t>Concluí la revisión detallada de las adecuaciones realizadas para la homologación de Sábana de beneficios y Cobranza en beFlex 3. Para Sábana se revisó el archivo sabana20260908134931.xlsx; para Cobranza se tomó la prueba más reciente de Zurich, Cobranza20260909164336022.xlsx, y se comparó contra el ejemplo equivalente de beFlex 2 y contra la versión anterior de beFlex 3. También se revisó la ruta de ejecución en API Reports y los insumos disponibles en la base local. beFlex 2 no fue modificado.</w:t>
      </w:r>
    </w:p>
    <w:p w14:paraId="39141F7C" w14:textId="54089809" w:rsidR="00D32EB0" w:rsidRDefault="00D32EB0" w:rsidP="00D32EB0">
      <w:r>
        <w:t>SÁBANA DE BENEFICIOS</w:t>
      </w:r>
    </w:p>
    <w:p w14:paraId="46751AD3" w14:textId="1592F715" w:rsidR="00D32EB0" w:rsidRDefault="00D32EB0" w:rsidP="00D32EB0">
      <w:r>
        <w:t>Se validaron como corregidos los siguientes puntos:</w:t>
      </w:r>
    </w:p>
    <w:p w14:paraId="05852D70" w14:textId="11EBC78F" w:rsidR="00D32EB0" w:rsidRDefault="00D32EB0" w:rsidP="00D32EB0">
      <w:pPr>
        <w:spacing w:after="120"/>
        <w:ind w:left="360" w:hanging="200"/>
      </w:pPr>
      <w:r>
        <w:rPr>
          <w:color w:val="087E8B"/>
        </w:rPr>
        <w:t xml:space="preserve">•  </w:t>
      </w:r>
      <w:r>
        <w:t>Vida: se eliminó la duplicación ocasionada por la separación entre cobertura básica y adicional. La salida pasó de 1,271 a 1,115 registros y ahora contiene 1,115 empleados distintos, igual que la referencia de beFlex 2.</w:t>
      </w:r>
    </w:p>
    <w:p w14:paraId="26C66880" w14:textId="3A0F5BB4" w:rsidR="00D32EB0" w:rsidRDefault="00D32EB0" w:rsidP="00D32EB0">
      <w:pPr>
        <w:spacing w:after="120"/>
        <w:ind w:left="360" w:hanging="200"/>
      </w:pPr>
      <w:r>
        <w:rPr>
          <w:color w:val="087E8B"/>
        </w:rPr>
        <w:t xml:space="preserve">•  </w:t>
      </w:r>
      <w:r>
        <w:t>Gastos Funerarios: se excluyeron las dos filas asociadas con la solicitud rechazada documentada. El resultado pasó de 217 a 215 registros.</w:t>
      </w:r>
    </w:p>
    <w:p w14:paraId="30FD7B8D" w14:textId="5D6D684D" w:rsidR="00D32EB0" w:rsidRDefault="00D32EB0" w:rsidP="00D32EB0">
      <w:pPr>
        <w:spacing w:after="120"/>
        <w:ind w:left="360" w:hanging="200"/>
      </w:pPr>
      <w:r>
        <w:rPr>
          <w:color w:val="087E8B"/>
        </w:rPr>
        <w:t xml:space="preserve">•  </w:t>
      </w:r>
      <w:r>
        <w:t>Plan de Pensión: se excluyó la fila correspondiente al mismo caso rechazado. El resultado pasó de 256 a 255 registros.</w:t>
      </w:r>
    </w:p>
    <w:p w14:paraId="49B0A483" w14:textId="682789AF" w:rsidR="00D32EB0" w:rsidRDefault="00D32EB0" w:rsidP="00D32EB0">
      <w:pPr>
        <w:spacing w:after="120"/>
        <w:ind w:left="360" w:hanging="200"/>
      </w:pPr>
      <w:r>
        <w:rPr>
          <w:color w:val="087E8B"/>
        </w:rPr>
        <w:t xml:space="preserve">•  </w:t>
      </w:r>
      <w:r>
        <w:t>Mascotas: se recuperó la generación de la hoja corrigiendo la relación entre plan y cobertura. La hoja contiene 34 registros, 34 identificadores de mascota distintos, el plan 3521 y la cobertura 12959. El libro final contiene 29 hojas.</w:t>
      </w:r>
    </w:p>
    <w:p w14:paraId="763B8A8D" w14:textId="4760BA77" w:rsidR="00D32EB0" w:rsidRDefault="00D32EB0" w:rsidP="00D32EB0">
      <w:pPr>
        <w:spacing w:after="120"/>
        <w:ind w:left="360" w:hanging="200"/>
      </w:pPr>
      <w:r>
        <w:rPr>
          <w:color w:val="087E8B"/>
        </w:rPr>
        <w:t xml:space="preserve">•  </w:t>
      </w:r>
      <w:r>
        <w:t>Comparación integral: se cotejaron 4,512 registros y 116,096 valores de campos compartidos en las 28 hojas comunes con beFlex 2. No se encontraron registros faltantes, adicionales ni diferencias de contenido en esos campos.</w:t>
      </w:r>
    </w:p>
    <w:p w14:paraId="3D2584B4" w14:textId="0E3EF56F" w:rsidR="00D32EB0" w:rsidRDefault="00D32EB0" w:rsidP="00D32EB0">
      <w:pPr>
        <w:spacing w:after="120"/>
        <w:ind w:left="360" w:hanging="200"/>
      </w:pPr>
      <w:r>
        <w:rPr>
          <w:color w:val="087E8B"/>
        </w:rPr>
        <w:t xml:space="preserve">•  </w:t>
      </w:r>
      <w:r>
        <w:t>Ruta técnica B3: el reporte quedó dirigido a ff_Sabana_BF3 y a sus procedimientos BF3 de GMM, Vida, Opcionales y Mascotas. En Opcionales se aplican empresa, vigencia y estado válido de la solicitud, lo cual evita volver a incluir solicitudes rechazadas. Estos ajustes no modifican la ruta de beFlex 2.</w:t>
      </w:r>
    </w:p>
    <w:p w14:paraId="458FBED5" w14:textId="3698D4F6" w:rsidR="00D32EB0" w:rsidRDefault="00D32EB0" w:rsidP="00D32EB0">
      <w:pPr>
        <w:spacing w:before="180" w:after="120"/>
        <w:rPr>
          <w:b/>
          <w:color w:val="087E8B"/>
          <w:sz w:val="23"/>
        </w:rPr>
      </w:pPr>
      <w:r>
        <w:rPr>
          <w:b/>
          <w:color w:val="087E8B"/>
          <w:sz w:val="23"/>
        </w:rPr>
        <w:t>COBRANZA</w:t>
      </w:r>
    </w:p>
    <w:p w14:paraId="385E39A1" w14:textId="11D5AE0F" w:rsidR="00D32EB0" w:rsidRDefault="00D32EB0" w:rsidP="00D32EB0">
      <w:r>
        <w:t>En la prueba de Zurich se comprobaron las siguientes correcciones de las incidencias originales:</w:t>
      </w:r>
    </w:p>
    <w:p w14:paraId="3A0B31B0" w14:textId="2D24F101" w:rsidR="00D32EB0" w:rsidRDefault="00D32EB0" w:rsidP="00D32EB0">
      <w:pPr>
        <w:spacing w:after="120"/>
        <w:ind w:left="360" w:hanging="200"/>
      </w:pPr>
      <w:r>
        <w:rPr>
          <w:color w:val="087E8B"/>
        </w:rPr>
        <w:t xml:space="preserve">•  </w:t>
      </w:r>
      <w:r>
        <w:t>Concentrada: conserva los mismos 57 encabezados y los mismos 1,115 registros que beFlex 2. La fila de totales quedó al final, en la fila 1117, y ya no en el segundo renglón. Los valores y los totales comparados coinciden con beFlex 2.</w:t>
      </w:r>
    </w:p>
    <w:p w14:paraId="6268A4D2" w14:textId="7365A5B0" w:rsidR="00D32EB0" w:rsidRDefault="00D32EB0" w:rsidP="00D32EB0">
      <w:pPr>
        <w:spacing w:after="120"/>
        <w:ind w:left="360" w:hanging="200"/>
      </w:pPr>
      <w:r>
        <w:rPr>
          <w:color w:val="087E8B"/>
        </w:rPr>
        <w:t xml:space="preserve">•  </w:t>
      </w:r>
      <w:r>
        <w:t>Formatos: Empresa se exporta como texto; ID, Edad y Número Oficina se exportan como enteros. Ninguno de esos campos conserva el formato monetario que se había reportado.</w:t>
      </w:r>
    </w:p>
    <w:p w14:paraId="0E2C0743" w14:textId="30B183A3" w:rsidR="00D32EB0" w:rsidRDefault="00D32EB0" w:rsidP="00D32EB0">
      <w:pPr>
        <w:spacing w:after="120"/>
        <w:ind w:left="360" w:hanging="200"/>
      </w:pPr>
      <w:r>
        <w:rPr>
          <w:color w:val="087E8B"/>
        </w:rPr>
        <w:t xml:space="preserve">•  </w:t>
      </w:r>
      <w:r>
        <w:t>Desglosada: conserva los mismos 43 encabezados y 4,820 registros. Al normalizar el tipo de celda, no se encontraron diferencias de registros ni de importes contra beFlex 2.</w:t>
      </w:r>
    </w:p>
    <w:p w14:paraId="050CBE57" w14:textId="68489C95" w:rsidR="00D32EB0" w:rsidRDefault="00D32EB0" w:rsidP="00D32EB0">
      <w:pPr>
        <w:spacing w:after="120"/>
        <w:ind w:left="360" w:hanging="200"/>
      </w:pPr>
      <w:r>
        <w:rPr>
          <w:color w:val="087E8B"/>
        </w:rPr>
        <w:t xml:space="preserve">•  </w:t>
      </w:r>
      <w:r>
        <w:t>Total por coberturas: la hoja inicia con los importes por plan y termina con los 146 renglones de cobertura y parentesco. El bloque de conceptos respeta la secuencia de beFlex 2: Prima Neta, Derecho de póliza, IVA y Prima Total.</w:t>
      </w:r>
    </w:p>
    <w:p w14:paraId="11655ECB" w14:textId="01A9C9A2" w:rsidR="00D32EB0" w:rsidRDefault="00D32EB0" w:rsidP="00D32EB0">
      <w:pPr>
        <w:spacing w:after="120"/>
        <w:ind w:left="360" w:hanging="200"/>
      </w:pPr>
      <w:r>
        <w:rPr>
          <w:color w:val="087E8B"/>
        </w:rPr>
        <w:t xml:space="preserve">•  </w:t>
      </w:r>
      <w:r>
        <w:t>Conciliaciones: las 84 coberturas y las 84 filas de Planes_Parentesco coinciden con beFlex 2 en contenido, importes, orden y cantidades. Los conteos de cobertura y parentesco concilian con los 4,820 registros de Desglosada.</w:t>
      </w:r>
    </w:p>
    <w:p w14:paraId="12A01378" w14:textId="08753AC9" w:rsidR="00D32EB0" w:rsidRDefault="00D32EB0" w:rsidP="00D32EB0">
      <w:pPr>
        <w:spacing w:after="120"/>
        <w:ind w:left="360" w:hanging="200"/>
      </w:pPr>
      <w:r>
        <w:rPr>
          <w:color w:val="087E8B"/>
        </w:rPr>
        <w:t xml:space="preserve">•  </w:t>
      </w:r>
      <w:r>
        <w:t>Notificación: Cobranza quedó integrada al mecanismo de envío utilizado por los reportes. Se corrigió la lectura de ConfiguracionReporteGen para utilizar su valor de configuración y evitar el ClassCastException que impedía solicitar el correo. También se envía el nombre lógico “Cobranza”, en lugar del nombre físico del archivo generado, para que el asunto y el cuerpo se presenten de la misma forma que en Sábana. La recepción de las notificaciones de Sábana y Cobranza quedó comprobada con las capturas correspondientes.</w:t>
      </w:r>
    </w:p>
    <w:p w14:paraId="4ACACCE7" w14:textId="61239CD2" w:rsidR="00D32EB0" w:rsidRDefault="00D32EB0" w:rsidP="00D32EB0">
      <w:r>
        <w:t>AJUSTES COMPLEMENTARIOS IDENTIFICADOS EN LA COMPARACIÓN B2/B3</w:t>
      </w:r>
    </w:p>
    <w:p w14:paraId="05DFD6F8" w14:textId="774696EC" w:rsidR="00D32EB0" w:rsidRDefault="00D32EB0" w:rsidP="00D32EB0">
      <w:r>
        <w:t>Durante la revisión más detallada se localizaron dos diferencias exclusivas de la salida B3 de Cobranza y se preparó su corrección dentro de JDBCCobranza, en API Reports:</w:t>
      </w:r>
    </w:p>
    <w:p w14:paraId="53FFD749" w14:textId="6A70FEF8" w:rsidR="00D32EB0" w:rsidRDefault="00D32EB0" w:rsidP="00D32EB0">
      <w:pPr>
        <w:spacing w:after="120"/>
        <w:ind w:left="360" w:hanging="200"/>
      </w:pPr>
      <w:r>
        <w:rPr>
          <w:color w:val="087E8B"/>
        </w:rPr>
        <w:t xml:space="preserve">•  </w:t>
      </w:r>
      <w:r>
        <w:t>Tipos numéricos de Desglosada: en el archivo revisado, 1,108 valores de la columna W (Valor S.A.) y 275 valores de la columna Z (Prima neta hasta fin de vigencia) estaban almacenados como texto, aunque sus importes coincidían con beFlex 2. La causa era que el tipo de toda la columna se determinaba usando únicamente la primera fila de cada bloque de 100 registros. Se ajustó la lógica para buscar el primer valor no nulo ni vacío de cada bloque y conservar el tipo numérico informado por la base de datos.</w:t>
      </w:r>
    </w:p>
    <w:p w14:paraId="69F11D26" w14:textId="0781757E" w:rsidR="00D32EB0" w:rsidRDefault="00D32EB0" w:rsidP="00D32EB0">
      <w:pPr>
        <w:spacing w:after="120"/>
        <w:ind w:left="360" w:hanging="200"/>
      </w:pPr>
      <w:r>
        <w:rPr>
          <w:color w:val="087E8B"/>
        </w:rPr>
        <w:t xml:space="preserve">•  </w:t>
      </w:r>
      <w:r>
        <w:t>Orden del resumen agrupado: el bloque se presentaba como Vida, GMM y Opcionales. Se agregó una regla limitada a ese resumen para conservar el orden de beFlex 2: GMM, Opcionales, Vida y TOTALES. La regla no altera el orden de los demás bloques.</w:t>
      </w:r>
    </w:p>
    <w:p w14:paraId="6A5CD3C8" w14:textId="4D0708DC" w:rsidR="00D32EB0" w:rsidRDefault="00D32EB0" w:rsidP="00D32EB0">
      <w:r>
        <w:t>Estas dos adecuaciones están implementadas en la clase de API Reports que genera el Excel; no requieren cambios de base de datos, procedimientos almacenados ni modificaciones en beFlex 2. Para cerrar su evidencia únicamente falta desplegar esta última versión y generar una nueva Cobranza, verificando que W y Z queden como celdas numéricas y que el resumen conserve el orden indicado.</w:t>
      </w:r>
    </w:p>
    <w:p w14:paraId="6B873C68" w14:textId="3E254B5B" w:rsidR="00D32EB0" w:rsidRDefault="00D32EB0" w:rsidP="00D32EB0">
      <w:r>
        <w:t>ACLARACIÓN DE ALCANCE</w:t>
      </w:r>
    </w:p>
    <w:p w14:paraId="2A7B7CA0" w14:textId="7653F032" w:rsidR="00D32EB0" w:rsidRDefault="00D32EB0" w:rsidP="00D32EB0">
      <w:r>
        <w:t>Las celdas finales de Costo Empresa, Costo Empleado y Diferencia Sueldo mensual que permanecen en cero presentan el mismo comportamiento en los ejemplos de beFlex 2 y beFlex 3. Por ello no corresponden a una regresión introducida en B3 ni a una diferencia pendiente de homologación; si se requiere modificar esa totalización, deberá tratarse como una mejora funcional separada para no cambiar únicamente B3 respecto de la referencia vigente.</w:t>
      </w:r>
    </w:p>
    <w:p w14:paraId="6AEDEE30" w14:textId="1E9503C8" w:rsidR="00D32EB0" w:rsidRDefault="00D32EB0" w:rsidP="00D32EB0">
      <w:r>
        <w:t>En conclusión, las incidencias funcionales reportadas para Sábana, los ajustes originales de estructura y presentación de Cobranza y el envío de notificaciones se observan atendidos. Las dos diferencias adicionales exclusivas de Cobranza B3 ya cuentan con corrección en API Reports y quedan pendientes solamente de despliegue y validación mediante un archivo nuevo.</w:t>
      </w:r>
    </w:p>
    <w:p w14:paraId="13845330" w14:textId="56781EDE" w:rsidR="00D32EB0" w:rsidRDefault="00D32EB0" w:rsidP="00D32EB0">
      <w:pPr>
        <w:rPr>
          <w:b/>
        </w:rPr>
      </w:pPr>
      <w:r>
        <w:rPr>
          <w:b/>
        </w:rPr>
        <w:t>Saludos.</w:t>
      </w:r>
    </w:p>
    <w:p w14:paraId="4C0E4FF0" w14:textId="77777777" w:rsidR="00D32EB0" w:rsidRPr="00D32EB0" w:rsidRDefault="00D32EB0" w:rsidP="00D32EB0">
      <w:pPr>
        <w:rPr>
          <w:b/>
        </w:rPr>
      </w:pPr>
    </w:p>
    <w:sectPr w:rsidR="00D32EB0" w:rsidRPr="00D32EB0" w:rsidSect="00D32EB0">
      <w:pgSz w:w="12240" w:h="15840"/>
      <w:pgMar w:top="1000" w:right="1160" w:bottom="1000" w:left="1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EB0"/>
    <w:rsid w:val="00215D35"/>
    <w:rsid w:val="00407586"/>
    <w:rsid w:val="00B90209"/>
    <w:rsid w:val="00BF48CE"/>
    <w:rsid w:val="00D32E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0BDB"/>
  <w15:chartTrackingRefBased/>
  <w15:docId w15:val="{34B0F148-6AAB-4BCF-969A-8542AC5F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0" w:lineRule="auto"/>
    </w:pPr>
    <w:rPr>
      <w:rFonts w:ascii="Aptos" w:hAnsi="Aptos"/>
      <w:color w:val="273444"/>
      <w:sz w:val="21"/>
    </w:rPr>
  </w:style>
  <w:style w:type="paragraph" w:styleId="Ttulo1">
    <w:name w:val="heading 1"/>
    <w:basedOn w:val="Normal"/>
    <w:next w:val="Normal"/>
    <w:link w:val="Ttulo1Car"/>
    <w:uiPriority w:val="9"/>
    <w:qFormat/>
    <w:rsid w:val="00D32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E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E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E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E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E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E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E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E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E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E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E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E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E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E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E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EB0"/>
    <w:rPr>
      <w:rFonts w:eastAsiaTheme="majorEastAsia" w:cstheme="majorBidi"/>
      <w:color w:val="272727" w:themeColor="text1" w:themeTint="D8"/>
    </w:rPr>
  </w:style>
  <w:style w:type="paragraph" w:styleId="Ttulo">
    <w:name w:val="Title"/>
    <w:basedOn w:val="Normal"/>
    <w:next w:val="Normal"/>
    <w:link w:val="TtuloCar"/>
    <w:uiPriority w:val="10"/>
    <w:qFormat/>
    <w:rsid w:val="00D32E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E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E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E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EB0"/>
    <w:pPr>
      <w:spacing w:before="160"/>
      <w:jc w:val="center"/>
    </w:pPr>
    <w:rPr>
      <w:i/>
      <w:iCs/>
      <w:color w:val="404040" w:themeColor="text1" w:themeTint="BF"/>
    </w:rPr>
  </w:style>
  <w:style w:type="character" w:customStyle="1" w:styleId="CitaCar">
    <w:name w:val="Cita Car"/>
    <w:basedOn w:val="Fuentedeprrafopredeter"/>
    <w:link w:val="Cita"/>
    <w:uiPriority w:val="29"/>
    <w:rsid w:val="00D32EB0"/>
    <w:rPr>
      <w:i/>
      <w:iCs/>
      <w:color w:val="404040" w:themeColor="text1" w:themeTint="BF"/>
    </w:rPr>
  </w:style>
  <w:style w:type="paragraph" w:styleId="Prrafodelista">
    <w:name w:val="List Paragraph"/>
    <w:basedOn w:val="Normal"/>
    <w:uiPriority w:val="34"/>
    <w:qFormat/>
    <w:rsid w:val="00D32EB0"/>
    <w:pPr>
      <w:ind w:left="720"/>
      <w:contextualSpacing/>
    </w:pPr>
  </w:style>
  <w:style w:type="character" w:styleId="nfasisintenso">
    <w:name w:val="Intense Emphasis"/>
    <w:basedOn w:val="Fuentedeprrafopredeter"/>
    <w:uiPriority w:val="21"/>
    <w:qFormat/>
    <w:rsid w:val="00D32EB0"/>
    <w:rPr>
      <w:i/>
      <w:iCs/>
      <w:color w:val="0F4761" w:themeColor="accent1" w:themeShade="BF"/>
    </w:rPr>
  </w:style>
  <w:style w:type="paragraph" w:styleId="Citadestacada">
    <w:name w:val="Intense Quote"/>
    <w:basedOn w:val="Normal"/>
    <w:next w:val="Normal"/>
    <w:link w:val="CitadestacadaCar"/>
    <w:uiPriority w:val="30"/>
    <w:qFormat/>
    <w:rsid w:val="00D32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EB0"/>
    <w:rPr>
      <w:i/>
      <w:iCs/>
      <w:color w:val="0F4761" w:themeColor="accent1" w:themeShade="BF"/>
    </w:rPr>
  </w:style>
  <w:style w:type="character" w:styleId="Referenciaintensa">
    <w:name w:val="Intense Reference"/>
    <w:basedOn w:val="Fuentedeprrafopredeter"/>
    <w:uiPriority w:val="32"/>
    <w:qFormat/>
    <w:rsid w:val="00D32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895</Words>
  <Characters>4925</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san</dc:creator>
  <cp:keywords/>
  <dc:description/>
  <cp:lastModifiedBy>eli san</cp:lastModifiedBy>
  <cp:revision>1</cp:revision>
  <dcterms:created xsi:type="dcterms:W3CDTF">2026-09-09T23:59:00Z</dcterms:created>
  <dcterms:modified xsi:type="dcterms:W3CDTF">2026-09-09T23:59:00Z</dcterms:modified>
</cp:coreProperties>
</file>