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24EE" w14:textId="77777777" w:rsidR="00C56B0B" w:rsidRDefault="00000000">
      <w:pPr>
        <w:spacing w:before="600" w:after="200"/>
        <w:jc w:val="center"/>
      </w:pPr>
      <w:r>
        <w:rPr>
          <w:b/>
          <w:bCs/>
          <w:color w:val="1F4E79"/>
          <w:sz w:val="44"/>
          <w:szCs w:val="44"/>
        </w:rPr>
        <w:t>Conclusiones y Recomendaciones</w:t>
      </w:r>
    </w:p>
    <w:p w14:paraId="5CB49C1F" w14:textId="77777777" w:rsidR="00C56B0B" w:rsidRDefault="00000000">
      <w:pPr>
        <w:spacing w:after="400"/>
        <w:jc w:val="center"/>
      </w:pPr>
      <w:r>
        <w:rPr>
          <w:color w:val="2E75B6"/>
          <w:sz w:val="28"/>
          <w:szCs w:val="28"/>
        </w:rPr>
        <w:t xml:space="preserve">Proyecto Integrador — </w:t>
      </w:r>
      <w:proofErr w:type="spellStart"/>
      <w:r>
        <w:rPr>
          <w:color w:val="2E75B6"/>
          <w:sz w:val="28"/>
          <w:szCs w:val="28"/>
        </w:rPr>
        <w:t>TechCore</w:t>
      </w:r>
      <w:proofErr w:type="spellEnd"/>
    </w:p>
    <w:p w14:paraId="17D62D0D" w14:textId="77777777" w:rsidR="00C56B0B" w:rsidRDefault="00000000">
      <w:pPr>
        <w:spacing w:after="800"/>
        <w:jc w:val="center"/>
      </w:pPr>
      <w:proofErr w:type="spellStart"/>
      <w:r>
        <w:rPr>
          <w:i/>
          <w:iCs/>
          <w:color w:val="666666"/>
        </w:rPr>
        <w:t>Insights</w:t>
      </w:r>
      <w:proofErr w:type="spellEnd"/>
      <w:r>
        <w:rPr>
          <w:i/>
          <w:iCs/>
          <w:color w:val="666666"/>
        </w:rPr>
        <w:t xml:space="preserve"> de negocio y propuestas de mejora</w:t>
      </w:r>
    </w:p>
    <w:p w14:paraId="0E8B12C2" w14:textId="77777777" w:rsidR="00C56B0B" w:rsidRDefault="00000000">
      <w:pPr>
        <w:pStyle w:val="Ttulo1"/>
      </w:pPr>
      <w:r>
        <w:t>Resumen ejecutivo</w:t>
      </w:r>
    </w:p>
    <w:p w14:paraId="085B5773" w14:textId="77777777" w:rsidR="00C56B0B" w:rsidRDefault="00000000">
      <w:pPr>
        <w:spacing w:before="60" w:after="120"/>
      </w:pPr>
      <w:r>
        <w:t xml:space="preserve">El análisis del modelo relacional construido sobre 30.000 facturas y 60.059 renglones de venta, correspondientes al período septiembre 2014 a septiembre 2025, permite extraer hallazgos relevantes sobre la operación comercial de </w:t>
      </w:r>
      <w:proofErr w:type="spellStart"/>
      <w:r>
        <w:t>TechCore</w:t>
      </w:r>
      <w:proofErr w:type="spellEnd"/>
      <w:r>
        <w:t xml:space="preserve">: distribución geográfica de las ventas, </w:t>
      </w:r>
      <w:proofErr w:type="spellStart"/>
      <w:r>
        <w:t>mix</w:t>
      </w:r>
      <w:proofErr w:type="spellEnd"/>
      <w:r>
        <w:t xml:space="preserve"> de marcas, comportamiento del cliente, métodos de pago y estacionalidad. Estos </w:t>
      </w:r>
      <w:proofErr w:type="spellStart"/>
      <w:r>
        <w:t>insights</w:t>
      </w:r>
      <w:proofErr w:type="spellEnd"/>
      <w:r>
        <w:t xml:space="preserve"> se traducen en recomendaciones concretas para el negocio y mejoras al </w:t>
      </w:r>
      <w:proofErr w:type="spellStart"/>
      <w:r>
        <w:t>dashboard</w:t>
      </w:r>
      <w:proofErr w:type="spellEnd"/>
      <w:r>
        <w:t>.</w:t>
      </w:r>
    </w:p>
    <w:p w14:paraId="33368862" w14:textId="77777777" w:rsidR="00C56B0B" w:rsidRDefault="00000000">
      <w:pPr>
        <w:spacing w:before="60" w:after="120"/>
      </w:pPr>
      <w:r>
        <w:t xml:space="preserve">El proyecto integra el ciclo completo de </w:t>
      </w: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  <w:r>
        <w:t xml:space="preserve"> — desde la limpieza inicial en Power Query hasta el </w:t>
      </w:r>
      <w:proofErr w:type="spellStart"/>
      <w:r>
        <w:t>dashboard</w:t>
      </w:r>
      <w:proofErr w:type="spellEnd"/>
      <w:r>
        <w:t xml:space="preserve"> interactivo con seguridad a nivel de fila — y deja una base sólida para extender el análisis a métricas más avanzadas como margen, retención de clientes y productividad por sucursal.</w:t>
      </w:r>
    </w:p>
    <w:p w14:paraId="4E1AD485" w14:textId="77777777" w:rsidR="00C56B0B" w:rsidRDefault="00000000">
      <w:pPr>
        <w:pStyle w:val="Ttulo1"/>
      </w:pPr>
      <w:r>
        <w:t>1. Hallazgos de negocio</w:t>
      </w:r>
    </w:p>
    <w:p w14:paraId="7657BFA4" w14:textId="77777777" w:rsidR="00C56B0B" w:rsidRDefault="00000000">
      <w:pPr>
        <w:pStyle w:val="Ttulo2"/>
      </w:pPr>
      <w:r>
        <w:t>1.1. Concentración geográfica</w:t>
      </w:r>
    </w:p>
    <w:p w14:paraId="1F5FE1CE" w14:textId="77777777" w:rsidR="00C56B0B" w:rsidRDefault="00000000">
      <w:pPr>
        <w:spacing w:before="60" w:after="120"/>
      </w:pPr>
      <w:r>
        <w:t xml:space="preserve">Medellín representa la principal plaza comercial de </w:t>
      </w:r>
      <w:proofErr w:type="spellStart"/>
      <w:r>
        <w:t>TechCore</w:t>
      </w:r>
      <w:proofErr w:type="spellEnd"/>
      <w:r>
        <w:t>, seguida por Bogotá. La distribución de ventas por ciudad muestra un desbalance significativo: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080"/>
        <w:gridCol w:w="2080"/>
      </w:tblGrid>
      <w:tr w:rsidR="00C56B0B" w14:paraId="3D25F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4C9D" w14:textId="77777777" w:rsidR="00C56B0B" w:rsidRDefault="00000000">
            <w:r>
              <w:rPr>
                <w:b/>
                <w:bCs/>
                <w:color w:val="FFFFFF"/>
                <w:sz w:val="20"/>
                <w:szCs w:val="20"/>
              </w:rPr>
              <w:t>Ciudad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0664" w14:textId="77777777" w:rsidR="00C56B0B" w:rsidRDefault="00000000">
            <w:r>
              <w:rPr>
                <w:b/>
                <w:bCs/>
                <w:color w:val="FFFFFF"/>
                <w:sz w:val="20"/>
                <w:szCs w:val="20"/>
              </w:rPr>
              <w:t>Ventas totales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FEA0" w14:textId="77777777" w:rsidR="00C56B0B" w:rsidRDefault="00000000">
            <w:r>
              <w:rPr>
                <w:b/>
                <w:bCs/>
                <w:color w:val="FFFFFF"/>
                <w:sz w:val="20"/>
                <w:szCs w:val="20"/>
              </w:rPr>
              <w:t>Facturas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00DE" w14:textId="77777777" w:rsidR="00C56B0B" w:rsidRDefault="00000000"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</w:tr>
      <w:tr w:rsidR="00C56B0B" w14:paraId="02F83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B96F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Medellín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C17F" w14:textId="77777777" w:rsidR="00C56B0B" w:rsidRDefault="00000000">
            <w:r>
              <w:rPr>
                <w:color w:val="000000"/>
                <w:sz w:val="20"/>
                <w:szCs w:val="20"/>
              </w:rPr>
              <w:t>$2.038.613.450.000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0DD0" w14:textId="77777777" w:rsidR="00C56B0B" w:rsidRDefault="00000000">
            <w:r>
              <w:rPr>
                <w:color w:val="000000"/>
                <w:sz w:val="20"/>
                <w:szCs w:val="20"/>
              </w:rPr>
              <w:t>13.460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B4E4" w14:textId="77777777" w:rsidR="00C56B0B" w:rsidRDefault="00000000">
            <w:r>
              <w:rPr>
                <w:color w:val="000000"/>
                <w:sz w:val="20"/>
                <w:szCs w:val="20"/>
              </w:rPr>
              <w:t>44,7%</w:t>
            </w:r>
          </w:p>
        </w:tc>
      </w:tr>
      <w:tr w:rsidR="00C56B0B" w14:paraId="440817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8EA2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Bogotá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A1DC" w14:textId="77777777" w:rsidR="00C56B0B" w:rsidRDefault="00000000">
            <w:r>
              <w:rPr>
                <w:color w:val="000000"/>
                <w:sz w:val="20"/>
                <w:szCs w:val="20"/>
              </w:rPr>
              <w:t>$1.396.075.100.000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70EB" w14:textId="77777777" w:rsidR="00C56B0B" w:rsidRDefault="00000000">
            <w:r>
              <w:rPr>
                <w:color w:val="000000"/>
                <w:sz w:val="20"/>
                <w:szCs w:val="20"/>
              </w:rPr>
              <w:t>9.107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C986" w14:textId="77777777" w:rsidR="00C56B0B" w:rsidRDefault="00000000">
            <w:r>
              <w:rPr>
                <w:color w:val="000000"/>
                <w:sz w:val="20"/>
                <w:szCs w:val="20"/>
              </w:rPr>
              <w:t>30,6%</w:t>
            </w:r>
          </w:p>
        </w:tc>
      </w:tr>
      <w:tr w:rsidR="00C56B0B" w14:paraId="71B7E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0837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Pereira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D808" w14:textId="77777777" w:rsidR="00C56B0B" w:rsidRDefault="00000000">
            <w:r>
              <w:rPr>
                <w:color w:val="000000"/>
                <w:sz w:val="20"/>
                <w:szCs w:val="20"/>
              </w:rPr>
              <w:t>$566.194.000.000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91A3" w14:textId="77777777" w:rsidR="00C56B0B" w:rsidRDefault="00000000">
            <w:r>
              <w:rPr>
                <w:color w:val="000000"/>
                <w:sz w:val="20"/>
                <w:szCs w:val="20"/>
              </w:rPr>
              <w:t>3.723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CED1" w14:textId="77777777" w:rsidR="00C56B0B" w:rsidRDefault="00000000">
            <w:r>
              <w:rPr>
                <w:color w:val="000000"/>
                <w:sz w:val="20"/>
                <w:szCs w:val="20"/>
              </w:rPr>
              <w:t>12,4%</w:t>
            </w:r>
          </w:p>
        </w:tc>
      </w:tr>
      <w:tr w:rsidR="00C56B0B" w14:paraId="0961F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EE35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Cali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3B19" w14:textId="77777777" w:rsidR="00C56B0B" w:rsidRDefault="00000000">
            <w:r>
              <w:rPr>
                <w:color w:val="000000"/>
                <w:sz w:val="20"/>
                <w:szCs w:val="20"/>
              </w:rPr>
              <w:t>$564.034.150.000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11BD" w14:textId="77777777" w:rsidR="00C56B0B" w:rsidRDefault="00000000">
            <w:r>
              <w:rPr>
                <w:color w:val="000000"/>
                <w:sz w:val="20"/>
                <w:szCs w:val="20"/>
              </w:rPr>
              <w:t>3.710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499E" w14:textId="77777777" w:rsidR="00C56B0B" w:rsidRDefault="00000000">
            <w:r>
              <w:rPr>
                <w:color w:val="000000"/>
                <w:sz w:val="20"/>
                <w:szCs w:val="20"/>
              </w:rPr>
              <w:t>12,4%</w:t>
            </w:r>
          </w:p>
        </w:tc>
      </w:tr>
    </w:tbl>
    <w:p w14:paraId="0D57A18F" w14:textId="77777777" w:rsidR="00C56B0B" w:rsidRDefault="00000000">
      <w:pPr>
        <w:spacing w:before="60" w:after="120"/>
      </w:pPr>
      <w:r>
        <w:t xml:space="preserve"> </w:t>
      </w:r>
    </w:p>
    <w:p w14:paraId="75DDA71B" w14:textId="77777777" w:rsidR="00C56B0B" w:rsidRDefault="00000000">
      <w:pPr>
        <w:spacing w:before="60" w:after="120"/>
      </w:pPr>
      <w:proofErr w:type="spellStart"/>
      <w:r>
        <w:rPr>
          <w:b/>
          <w:bCs/>
          <w:color w:val="2E75B6"/>
        </w:rPr>
        <w:t>Insight</w:t>
      </w:r>
      <w:proofErr w:type="spellEnd"/>
      <w:r>
        <w:rPr>
          <w:b/>
          <w:bCs/>
          <w:color w:val="2E75B6"/>
        </w:rPr>
        <w:t xml:space="preserve">: </w:t>
      </w:r>
      <w:r>
        <w:t>Medellín y Bogotá concentran el 75,3% de los ingresos. Pereira y Cali, pese a representar plazas medianas, generan volúmenes prácticamente idénticos (diferencia menor a 0,4%) — vale la pena investigar si esto refleja un techo del mercado regional o una oportunidad de expansión desigual.</w:t>
      </w:r>
    </w:p>
    <w:p w14:paraId="6CF739CE" w14:textId="77777777" w:rsidR="00530003" w:rsidRDefault="00530003">
      <w:pPr>
        <w:pStyle w:val="Ttulo2"/>
      </w:pPr>
    </w:p>
    <w:p w14:paraId="4CECA8FC" w14:textId="77777777" w:rsidR="00530003" w:rsidRDefault="00530003">
      <w:pPr>
        <w:pStyle w:val="Ttulo2"/>
      </w:pPr>
    </w:p>
    <w:p w14:paraId="5360A248" w14:textId="784D6A1C" w:rsidR="00C56B0B" w:rsidRDefault="00000000">
      <w:pPr>
        <w:pStyle w:val="Ttulo2"/>
      </w:pPr>
      <w:r>
        <w:lastRenderedPageBreak/>
        <w:t>1.2. Mix de marcas y producto estrella</w:t>
      </w:r>
    </w:p>
    <w:p w14:paraId="3D3E979F" w14:textId="77777777" w:rsidR="00C56B0B" w:rsidRDefault="00000000">
      <w:pPr>
        <w:spacing w:before="60" w:after="120"/>
      </w:pPr>
      <w:r>
        <w:t xml:space="preserve">El ranking de marcas por facturación, una vez consolidadas las inconsistencias de tipeo en el </w:t>
      </w:r>
      <w:proofErr w:type="spellStart"/>
      <w:r>
        <w:t>dataset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C56B0B" w14:paraId="474A7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8515" w14:textId="77777777" w:rsidR="00C56B0B" w:rsidRDefault="00000000">
            <w:r>
              <w:rPr>
                <w:b/>
                <w:bCs/>
                <w:color w:val="FFFFFF"/>
                <w:sz w:val="20"/>
                <w:szCs w:val="20"/>
              </w:rPr>
              <w:t>Marca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33B2" w14:textId="77777777" w:rsidR="00C56B0B" w:rsidRDefault="00000000">
            <w:r>
              <w:rPr>
                <w:b/>
                <w:bCs/>
                <w:color w:val="FFFFFF"/>
                <w:sz w:val="20"/>
                <w:szCs w:val="20"/>
              </w:rPr>
              <w:t>Ventas totales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0EEE" w14:textId="77777777" w:rsidR="00C56B0B" w:rsidRDefault="00000000">
            <w:r>
              <w:rPr>
                <w:b/>
                <w:bCs/>
                <w:color w:val="FFFFFF"/>
                <w:sz w:val="20"/>
                <w:szCs w:val="20"/>
              </w:rPr>
              <w:t>Unidades</w:t>
            </w:r>
          </w:p>
        </w:tc>
      </w:tr>
      <w:tr w:rsidR="00C56B0B" w14:paraId="67692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4016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Lenovo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3AFA" w14:textId="77777777" w:rsidR="00C56B0B" w:rsidRDefault="00000000">
            <w:r>
              <w:rPr>
                <w:color w:val="000000"/>
                <w:sz w:val="20"/>
                <w:szCs w:val="20"/>
              </w:rPr>
              <w:t>$656.165.600.000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3806" w14:textId="77777777" w:rsidR="00C56B0B" w:rsidRDefault="00000000">
            <w:r>
              <w:rPr>
                <w:color w:val="000000"/>
                <w:sz w:val="20"/>
                <w:szCs w:val="20"/>
              </w:rPr>
              <w:t>120.913</w:t>
            </w:r>
          </w:p>
        </w:tc>
      </w:tr>
      <w:tr w:rsidR="00C56B0B" w14:paraId="1065B1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6CC7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HP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ED87" w14:textId="77777777" w:rsidR="00C56B0B" w:rsidRDefault="00000000">
            <w:r>
              <w:rPr>
                <w:color w:val="000000"/>
                <w:sz w:val="20"/>
                <w:szCs w:val="20"/>
              </w:rPr>
              <w:t>$529.810.000.000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28B6" w14:textId="77777777" w:rsidR="00C56B0B" w:rsidRDefault="00000000">
            <w:r>
              <w:rPr>
                <w:color w:val="000000"/>
                <w:sz w:val="20"/>
                <w:szCs w:val="20"/>
              </w:rPr>
              <w:t>108.968</w:t>
            </w:r>
          </w:p>
        </w:tc>
      </w:tr>
      <w:tr w:rsidR="00C56B0B" w14:paraId="38B35E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E2DD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Dell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1306" w14:textId="77777777" w:rsidR="00C56B0B" w:rsidRDefault="00000000">
            <w:r>
              <w:rPr>
                <w:color w:val="000000"/>
                <w:sz w:val="20"/>
                <w:szCs w:val="20"/>
              </w:rPr>
              <w:t>$476.146.600.000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A5BF" w14:textId="77777777" w:rsidR="00C56B0B" w:rsidRDefault="00000000">
            <w:r>
              <w:rPr>
                <w:color w:val="000000"/>
                <w:sz w:val="20"/>
                <w:szCs w:val="20"/>
              </w:rPr>
              <w:t>89.008</w:t>
            </w:r>
          </w:p>
        </w:tc>
      </w:tr>
      <w:tr w:rsidR="00C56B0B" w14:paraId="7209CF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58A8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Apple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1340" w14:textId="77777777" w:rsidR="00C56B0B" w:rsidRDefault="00000000">
            <w:r>
              <w:rPr>
                <w:color w:val="000000"/>
                <w:sz w:val="20"/>
                <w:szCs w:val="20"/>
              </w:rPr>
              <w:t>$422.534.400.000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5F81" w14:textId="77777777" w:rsidR="00C56B0B" w:rsidRDefault="00000000">
            <w:r>
              <w:rPr>
                <w:color w:val="000000"/>
                <w:sz w:val="20"/>
                <w:szCs w:val="20"/>
              </w:rPr>
              <w:t>58.456</w:t>
            </w:r>
          </w:p>
        </w:tc>
      </w:tr>
      <w:tr w:rsidR="00C56B0B" w14:paraId="44CC25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A51B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Asus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F01F" w14:textId="77777777" w:rsidR="00C56B0B" w:rsidRDefault="00000000">
            <w:r>
              <w:rPr>
                <w:color w:val="000000"/>
                <w:sz w:val="20"/>
                <w:szCs w:val="20"/>
              </w:rPr>
              <w:t>$182.941.400.000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C415" w14:textId="77777777" w:rsidR="00C56B0B" w:rsidRDefault="00000000">
            <w:r>
              <w:rPr>
                <w:color w:val="000000"/>
                <w:sz w:val="20"/>
                <w:szCs w:val="20"/>
              </w:rPr>
              <w:t>44.871</w:t>
            </w:r>
          </w:p>
        </w:tc>
      </w:tr>
      <w:tr w:rsidR="00C56B0B" w14:paraId="2F0755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0BAC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Acer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AFE1" w14:textId="77777777" w:rsidR="00C56B0B" w:rsidRDefault="00000000">
            <w:r>
              <w:rPr>
                <w:color w:val="000000"/>
                <w:sz w:val="20"/>
                <w:szCs w:val="20"/>
              </w:rPr>
              <w:t>$121.788.800.000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483E" w14:textId="77777777" w:rsidR="00C56B0B" w:rsidRDefault="00000000">
            <w:r>
              <w:rPr>
                <w:color w:val="000000"/>
                <w:sz w:val="20"/>
                <w:szCs w:val="20"/>
              </w:rPr>
              <w:t>39.497</w:t>
            </w:r>
          </w:p>
        </w:tc>
      </w:tr>
      <w:tr w:rsidR="00C56B0B" w14:paraId="378689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6D2F" w14:textId="77777777" w:rsidR="00C56B0B" w:rsidRDefault="00000000">
            <w:r>
              <w:rPr>
                <w:b/>
                <w:bCs/>
                <w:color w:val="000000"/>
                <w:sz w:val="20"/>
                <w:szCs w:val="20"/>
              </w:rPr>
              <w:t>Samsung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72C0" w14:textId="77777777" w:rsidR="00C56B0B" w:rsidRDefault="00000000">
            <w:r>
              <w:rPr>
                <w:color w:val="000000"/>
                <w:sz w:val="20"/>
                <w:szCs w:val="20"/>
              </w:rPr>
              <w:t>$67.596.000.000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FEF3" w14:textId="77777777" w:rsidR="00C56B0B" w:rsidRDefault="00000000">
            <w:r>
              <w:rPr>
                <w:color w:val="000000"/>
                <w:sz w:val="20"/>
                <w:szCs w:val="20"/>
              </w:rPr>
              <w:t>14.093</w:t>
            </w:r>
          </w:p>
        </w:tc>
      </w:tr>
    </w:tbl>
    <w:p w14:paraId="3F64D2F5" w14:textId="77777777" w:rsidR="00C56B0B" w:rsidRDefault="00000000">
      <w:pPr>
        <w:spacing w:before="60" w:after="120"/>
      </w:pPr>
      <w:r>
        <w:t xml:space="preserve"> </w:t>
      </w:r>
    </w:p>
    <w:p w14:paraId="19FDE6C2" w14:textId="77777777" w:rsidR="00C56B0B" w:rsidRDefault="00000000">
      <w:pPr>
        <w:spacing w:before="60" w:after="120"/>
      </w:pPr>
      <w:proofErr w:type="spellStart"/>
      <w:r>
        <w:rPr>
          <w:b/>
          <w:bCs/>
          <w:color w:val="2E75B6"/>
        </w:rPr>
        <w:t>Insight</w:t>
      </w:r>
      <w:proofErr w:type="spellEnd"/>
      <w:r>
        <w:rPr>
          <w:b/>
          <w:bCs/>
          <w:color w:val="2E75B6"/>
        </w:rPr>
        <w:t xml:space="preserve">: </w:t>
      </w:r>
      <w:r>
        <w:t xml:space="preserve">Lenovo lidera tanto en facturación como en volumen, con más de $656 mil millones y 120 mil unidades vendidas. El producto más vendido es el HP </w:t>
      </w:r>
      <w:proofErr w:type="spellStart"/>
      <w:r>
        <w:t>Spectre</w:t>
      </w:r>
      <w:proofErr w:type="spellEnd"/>
      <w:r>
        <w:t xml:space="preserve"> x360 con más de 41.000 unidades, pero el de mayor ingreso es el Lenovo Legion 5 Pro con $230 mil millones. Apple muestra el </w:t>
      </w:r>
      <w:proofErr w:type="gramStart"/>
      <w:r>
        <w:t>ticket</w:t>
      </w:r>
      <w:proofErr w:type="gramEnd"/>
      <w:r>
        <w:t xml:space="preserve"> promedio más alto entre las marcas top, confirmando su posicionamiento premium dentro del </w:t>
      </w:r>
      <w:proofErr w:type="spellStart"/>
      <w:r>
        <w:t>mix</w:t>
      </w:r>
      <w:proofErr w:type="spellEnd"/>
      <w:r>
        <w:t>.</w:t>
      </w:r>
    </w:p>
    <w:p w14:paraId="5B95429D" w14:textId="77777777" w:rsidR="00530003" w:rsidRDefault="00530003">
      <w:pPr>
        <w:spacing w:before="60" w:after="120"/>
        <w:rPr>
          <w:b/>
          <w:bCs/>
          <w:color w:val="2E75B6"/>
          <w:sz w:val="26"/>
          <w:szCs w:val="26"/>
        </w:rPr>
      </w:pPr>
      <w:r w:rsidRPr="00530003">
        <w:rPr>
          <w:b/>
          <w:bCs/>
          <w:color w:val="2E75B6"/>
          <w:sz w:val="26"/>
          <w:szCs w:val="26"/>
        </w:rPr>
        <w:t>1.3. Evolución Histórica y Sesgo de Datos (2025)</w:t>
      </w:r>
    </w:p>
    <w:p w14:paraId="1BDE218C" w14:textId="77777777" w:rsidR="00530003" w:rsidRPr="00530003" w:rsidRDefault="00530003" w:rsidP="00530003">
      <w:pPr>
        <w:spacing w:before="40" w:after="60"/>
      </w:pPr>
      <w:r w:rsidRPr="00530003">
        <w:t xml:space="preserve">Las ventas mantienen una notable estabilidad entre los años completos del </w:t>
      </w:r>
      <w:proofErr w:type="spellStart"/>
      <w:r w:rsidRPr="00530003">
        <w:t>dataset</w:t>
      </w:r>
      <w:proofErr w:type="spellEnd"/>
      <w:r w:rsidRPr="00530003">
        <w:t xml:space="preserve"> (2015-2024), fluctuando en una banda de $400 a $431 mil millones. Sin embargo, es fundamental aislar los extremos temporales de la muestra (2014 y 2025), ya que presentan volúmenes parciales:</w:t>
      </w:r>
    </w:p>
    <w:p w14:paraId="33B9B839" w14:textId="77777777" w:rsidR="00530003" w:rsidRPr="00530003" w:rsidRDefault="00530003" w:rsidP="00530003">
      <w:pPr>
        <w:pStyle w:val="Prrafodelista"/>
        <w:numPr>
          <w:ilvl w:val="0"/>
          <w:numId w:val="2"/>
        </w:numPr>
        <w:spacing w:before="40" w:after="60"/>
      </w:pPr>
      <w:r w:rsidRPr="00530003">
        <w:rPr>
          <w:b/>
          <w:bCs/>
        </w:rPr>
        <w:t>2014:</w:t>
      </w:r>
      <w:r w:rsidRPr="00530003">
        <w:t xml:space="preserve"> $131 mil millones (datos capturados únicamente desde septiembre).</w:t>
      </w:r>
    </w:p>
    <w:p w14:paraId="76DD3DAB" w14:textId="77777777" w:rsidR="00530003" w:rsidRPr="00530003" w:rsidRDefault="00530003" w:rsidP="00530003">
      <w:pPr>
        <w:pStyle w:val="Prrafodelista"/>
        <w:numPr>
          <w:ilvl w:val="0"/>
          <w:numId w:val="2"/>
        </w:numPr>
        <w:spacing w:before="40" w:after="60"/>
      </w:pPr>
      <w:r w:rsidRPr="00530003">
        <w:rPr>
          <w:b/>
          <w:bCs/>
        </w:rPr>
        <w:t>2025:</w:t>
      </w:r>
      <w:r w:rsidRPr="00530003">
        <w:t xml:space="preserve"> $275 mil millones (datos capturados hasta el 2 de septiembre).</w:t>
      </w:r>
    </w:p>
    <w:p w14:paraId="2093B698" w14:textId="77777777" w:rsidR="00530003" w:rsidRPr="00530003" w:rsidRDefault="00530003" w:rsidP="00530003">
      <w:pPr>
        <w:spacing w:before="40" w:after="60"/>
      </w:pPr>
      <w:proofErr w:type="spellStart"/>
      <w:r w:rsidRPr="00530003">
        <w:rPr>
          <w:b/>
          <w:bCs/>
          <w:color w:val="2E75B6"/>
        </w:rPr>
        <w:t>Insight</w:t>
      </w:r>
      <w:proofErr w:type="spellEnd"/>
      <w:r w:rsidRPr="00530003">
        <w:rPr>
          <w:b/>
          <w:bCs/>
          <w:color w:val="2E75B6"/>
        </w:rPr>
        <w:t xml:space="preserve"> Analítico:</w:t>
      </w:r>
      <w:r w:rsidRPr="00530003">
        <w:t xml:space="preserve"> La pronunciada caída visual que se observa en el gráfico de tendencia durante 2025 es un "artefacto" generado por el corte del </w:t>
      </w:r>
      <w:proofErr w:type="spellStart"/>
      <w:r w:rsidRPr="00530003">
        <w:t>dataset</w:t>
      </w:r>
      <w:proofErr w:type="spellEnd"/>
      <w:r w:rsidRPr="00530003">
        <w:t xml:space="preserve">, no una contracción real del negocio (la proyección anualizada superaría los $366 mil millones). Para garantizar la correcta toma de decisiones por parte de los </w:t>
      </w:r>
      <w:proofErr w:type="spellStart"/>
      <w:r w:rsidRPr="00530003">
        <w:t>stakeholders</w:t>
      </w:r>
      <w:proofErr w:type="spellEnd"/>
      <w:r w:rsidRPr="00530003">
        <w:t xml:space="preserve"> y evitar falsas alarmas, el </w:t>
      </w:r>
      <w:proofErr w:type="spellStart"/>
      <w:r w:rsidRPr="00530003">
        <w:t>dashboard</w:t>
      </w:r>
      <w:proofErr w:type="spellEnd"/>
      <w:r w:rsidRPr="00530003">
        <w:t xml:space="preserve"> debe consumirse entendiendo que 2025 es un período </w:t>
      </w:r>
      <w:proofErr w:type="spellStart"/>
      <w:r w:rsidRPr="00530003">
        <w:rPr>
          <w:i/>
          <w:iCs/>
        </w:rPr>
        <w:t>Year</w:t>
      </w:r>
      <w:proofErr w:type="spellEnd"/>
      <w:r w:rsidRPr="00530003">
        <w:rPr>
          <w:i/>
          <w:iCs/>
        </w:rPr>
        <w:t>-</w:t>
      </w:r>
      <w:proofErr w:type="spellStart"/>
      <w:r w:rsidRPr="00530003">
        <w:rPr>
          <w:i/>
          <w:iCs/>
        </w:rPr>
        <w:t>To</w:t>
      </w:r>
      <w:proofErr w:type="spellEnd"/>
      <w:r w:rsidRPr="00530003">
        <w:rPr>
          <w:i/>
          <w:iCs/>
        </w:rPr>
        <w:t>-Date</w:t>
      </w:r>
      <w:r w:rsidRPr="00530003">
        <w:t xml:space="preserve"> (YTD).</w:t>
      </w:r>
    </w:p>
    <w:p w14:paraId="2086A4B7" w14:textId="08296F7C" w:rsidR="00C56B0B" w:rsidRDefault="00C56B0B">
      <w:pPr>
        <w:pStyle w:val="Prrafodelista"/>
        <w:numPr>
          <w:ilvl w:val="0"/>
          <w:numId w:val="2"/>
        </w:numPr>
        <w:spacing w:before="40" w:after="60"/>
      </w:pPr>
    </w:p>
    <w:p w14:paraId="5622601F" w14:textId="77777777" w:rsidR="00C56B0B" w:rsidRDefault="00000000">
      <w:pPr>
        <w:pStyle w:val="Ttulo2"/>
      </w:pPr>
      <w:r>
        <w:t>1.4. Comportamiento de pago</w:t>
      </w:r>
    </w:p>
    <w:p w14:paraId="7FCE6FE2" w14:textId="77777777" w:rsidR="00C56B0B" w:rsidRDefault="00000000">
      <w:pPr>
        <w:spacing w:before="60" w:after="120"/>
      </w:pPr>
      <w:r>
        <w:t>Los métodos de pago muestran una clara preferencia por el plástico:</w:t>
      </w:r>
    </w:p>
    <w:p w14:paraId="2DA71D26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Tarjeta de crédito: 40,1%</w:t>
      </w:r>
    </w:p>
    <w:p w14:paraId="7F1611F1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Tarjeta de débito: 20,4%</w:t>
      </w:r>
    </w:p>
    <w:p w14:paraId="0CBB5446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Transferencia: 15,0%</w:t>
      </w:r>
    </w:p>
    <w:p w14:paraId="099CAF84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Billetera digital: 9,8%</w:t>
      </w:r>
    </w:p>
    <w:p w14:paraId="5B060343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Efectivo: 9,8%</w:t>
      </w:r>
    </w:p>
    <w:p w14:paraId="10B816E8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No especificado: 4,8%</w:t>
      </w:r>
    </w:p>
    <w:p w14:paraId="01537589" w14:textId="77777777" w:rsidR="00C56B0B" w:rsidRDefault="00000000">
      <w:pPr>
        <w:spacing w:before="60" w:after="120"/>
      </w:pPr>
      <w:proofErr w:type="spellStart"/>
      <w:r>
        <w:rPr>
          <w:b/>
          <w:bCs/>
          <w:color w:val="2E75B6"/>
        </w:rPr>
        <w:lastRenderedPageBreak/>
        <w:t>Insight</w:t>
      </w:r>
      <w:proofErr w:type="spellEnd"/>
      <w:r>
        <w:rPr>
          <w:b/>
          <w:bCs/>
          <w:color w:val="2E75B6"/>
        </w:rPr>
        <w:t xml:space="preserve">: </w:t>
      </w:r>
      <w:r>
        <w:t>Más del 60% de las transacciones pasan por tarjeta. La presencia de un 4,8% de transacciones "No especificado" es un punto de mejora en el proceso de captura del dato — representa más de 1.400 facturas con información de pago incompleta.</w:t>
      </w:r>
    </w:p>
    <w:p w14:paraId="56332E89" w14:textId="77777777" w:rsidR="00530003" w:rsidRDefault="00530003">
      <w:pPr>
        <w:pStyle w:val="Ttulo2"/>
      </w:pPr>
    </w:p>
    <w:p w14:paraId="79D0C588" w14:textId="6160B601" w:rsidR="00C56B0B" w:rsidRDefault="00000000">
      <w:pPr>
        <w:pStyle w:val="Ttulo2"/>
      </w:pPr>
      <w:r>
        <w:t>1.5. Perfil del cliente</w:t>
      </w:r>
    </w:p>
    <w:p w14:paraId="5936FE86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Edad promedio: 34,5 años — perfil joven-adulto, alineado con consumidor de tecnología.</w:t>
      </w:r>
    </w:p>
    <w:p w14:paraId="2DCF3352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Distribución por género: 64,3% masculino, 35,7% femenino.</w:t>
      </w:r>
    </w:p>
    <w:p w14:paraId="00F0A610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Base de clientes única: 15.725 personas con 30.000 facturas, lo que arroja una tasa de recurrencia de aproximadamente 1,9 compras por cliente en 11 años.</w:t>
      </w:r>
    </w:p>
    <w:p w14:paraId="2B1F5C0D" w14:textId="77777777" w:rsidR="00C56B0B" w:rsidRDefault="00000000">
      <w:pPr>
        <w:spacing w:before="60" w:after="120"/>
      </w:pPr>
      <w:proofErr w:type="spellStart"/>
      <w:r>
        <w:rPr>
          <w:b/>
          <w:bCs/>
          <w:color w:val="2E75B6"/>
        </w:rPr>
        <w:t>Insight</w:t>
      </w:r>
      <w:proofErr w:type="spellEnd"/>
      <w:r>
        <w:rPr>
          <w:b/>
          <w:bCs/>
          <w:color w:val="2E75B6"/>
        </w:rPr>
        <w:t xml:space="preserve">: </w:t>
      </w:r>
      <w:r>
        <w:t>La baja tasa de recompra (menos de 2 compras por cliente en una década) sugiere oportunidad importante en programas de fidelización y retención. La asimetría de género (casi 2:1 a favor de hombres) puede ser una oportunidad de marketing dirigido al segmento femenino.</w:t>
      </w:r>
    </w:p>
    <w:p w14:paraId="6D1B26F4" w14:textId="77777777" w:rsidR="00C56B0B" w:rsidRDefault="00000000">
      <w:pPr>
        <w:pStyle w:val="Ttulo1"/>
      </w:pPr>
      <w:r>
        <w:t>2. Recomendaciones</w:t>
      </w:r>
    </w:p>
    <w:p w14:paraId="45B247E1" w14:textId="77777777" w:rsidR="00C56B0B" w:rsidRDefault="00000000">
      <w:pPr>
        <w:pStyle w:val="Ttulo2"/>
      </w:pPr>
      <w:r>
        <w:t>2.1. Recomendaciones de negocio</w:t>
      </w:r>
    </w:p>
    <w:p w14:paraId="637C4DE4" w14:textId="77777777" w:rsidR="00C56B0B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Programa de fidelización</w:t>
      </w:r>
    </w:p>
    <w:p w14:paraId="32C504C9" w14:textId="77777777" w:rsidR="00C56B0B" w:rsidRDefault="00000000">
      <w:pPr>
        <w:spacing w:before="60" w:after="120"/>
      </w:pPr>
      <w:r>
        <w:t>Con una tasa de recompra de 1,9 transacciones por cliente en 11 años, hay margen amplio para crecer en la base instalada antes de invertir en captación. Una segmentación RFM (</w:t>
      </w:r>
      <w:proofErr w:type="spellStart"/>
      <w:r>
        <w:t>Recency</w:t>
      </w:r>
      <w:proofErr w:type="spellEnd"/>
      <w:r>
        <w:t xml:space="preserve">,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Monetary</w:t>
      </w:r>
      <w:proofErr w:type="spellEnd"/>
      <w:r>
        <w:t>) sobre la dimensión Clientes permitiría identificar a los clientes más valiosos y diseñar campañas específicas de retención y reactivación.</w:t>
      </w:r>
    </w:p>
    <w:p w14:paraId="4B556E82" w14:textId="77777777" w:rsidR="00C56B0B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Análisis de canibalización entre productos de la misma marca</w:t>
      </w:r>
    </w:p>
    <w:p w14:paraId="277D42C0" w14:textId="77777777" w:rsidR="00C56B0B" w:rsidRDefault="00000000">
      <w:pPr>
        <w:spacing w:before="60" w:after="120"/>
      </w:pPr>
      <w:r>
        <w:t>El top de productos muestra dos modelos de Lenovo (</w:t>
      </w:r>
      <w:proofErr w:type="spellStart"/>
      <w:r>
        <w:t>ThinkPad</w:t>
      </w:r>
      <w:proofErr w:type="spellEnd"/>
      <w:r>
        <w:t xml:space="preserve"> X1 Carbon y Legion 5 Pro) compitiendo en volumen. Conviene revisar si hay canibalización entre líneas o si responden a segmentos de cliente diferentes (corporativo vs. </w:t>
      </w:r>
      <w:proofErr w:type="spellStart"/>
      <w:r>
        <w:t>gaming</w:t>
      </w:r>
      <w:proofErr w:type="spellEnd"/>
      <w:r>
        <w:t xml:space="preserve">). Lo mismo aplica a HP con el </w:t>
      </w:r>
      <w:proofErr w:type="spellStart"/>
      <w:r>
        <w:t>Spectre</w:t>
      </w:r>
      <w:proofErr w:type="spellEnd"/>
      <w:r>
        <w:t xml:space="preserve"> x360 y el Omen 16.</w:t>
      </w:r>
    </w:p>
    <w:p w14:paraId="0B768B35" w14:textId="77777777" w:rsidR="00C56B0B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Expansión geográfica calibrada</w:t>
      </w:r>
    </w:p>
    <w:p w14:paraId="5DC7205B" w14:textId="77777777" w:rsidR="00C56B0B" w:rsidRDefault="00000000">
      <w:pPr>
        <w:spacing w:before="60" w:after="120"/>
      </w:pPr>
      <w:r>
        <w:t xml:space="preserve">Pereira y Cali generan volúmenes prácticamente idénticos pese a tener mercados muy distintos en tamaño. Esto puede indicar que la sucursal de Cali está subexplotada o que la de Pereira está </w:t>
      </w:r>
      <w:proofErr w:type="spellStart"/>
      <w:r>
        <w:t>sobre-rindiendo</w:t>
      </w:r>
      <w:proofErr w:type="spellEnd"/>
      <w:r>
        <w:t>. Un análisis de productividad por sucursal (ventas por metro cuadrado, por vendedor, por hora de operación) ayudaría a definir si conviene abrir más sucursales en Cali o mantener la presencia actual.</w:t>
      </w:r>
    </w:p>
    <w:p w14:paraId="3B31346D" w14:textId="77777777" w:rsidR="00C56B0B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Cierre de gap en captura de método de pago</w:t>
      </w:r>
    </w:p>
    <w:p w14:paraId="69B50C9E" w14:textId="77777777" w:rsidR="00C56B0B" w:rsidRDefault="00000000">
      <w:pPr>
        <w:spacing w:before="60" w:after="120"/>
      </w:pPr>
      <w:r>
        <w:t xml:space="preserve">El 4,8% de transacciones con "No especificado" en </w:t>
      </w:r>
      <w:proofErr w:type="spellStart"/>
      <w:r>
        <w:t>MetodoPago</w:t>
      </w:r>
      <w:proofErr w:type="spellEnd"/>
      <w:r>
        <w:t xml:space="preserve"> debería tender a cero. Esto requiere validación obligatoria del campo en el POS al cerrar la venta — una mejora simple con impacto inmediato en la calidad del dato.</w:t>
      </w:r>
    </w:p>
    <w:p w14:paraId="76AD0CBC" w14:textId="77777777" w:rsidR="00530003" w:rsidRDefault="00530003">
      <w:pPr>
        <w:spacing w:before="200" w:after="100"/>
        <w:rPr>
          <w:b/>
          <w:bCs/>
          <w:color w:val="404040"/>
          <w:sz w:val="24"/>
          <w:szCs w:val="24"/>
        </w:rPr>
      </w:pPr>
    </w:p>
    <w:p w14:paraId="61B1ED20" w14:textId="2E1BAC48" w:rsidR="00C56B0B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lastRenderedPageBreak/>
        <w:t>Marketing dirigido al segmento femenino</w:t>
      </w:r>
    </w:p>
    <w:p w14:paraId="01E2DBC4" w14:textId="77777777" w:rsidR="00C56B0B" w:rsidRDefault="00000000">
      <w:pPr>
        <w:spacing w:before="60" w:after="120"/>
      </w:pPr>
      <w:r>
        <w:t>La asimetría de género (64% masculino vs. 36% femenino) en una base de 15.725 clientes representa una oportunidad clara de marketing. Captar incluso un 10% adicional de clientas mujeres ampliaría la base instalada en más de 1.500 personas, sin necesidad de competir por el segmento ya saturado.</w:t>
      </w:r>
    </w:p>
    <w:p w14:paraId="6024603A" w14:textId="77777777" w:rsidR="00530003" w:rsidRDefault="00530003">
      <w:pPr>
        <w:pStyle w:val="Ttulo2"/>
      </w:pPr>
    </w:p>
    <w:p w14:paraId="77159A55" w14:textId="3EBFD392" w:rsidR="00C56B0B" w:rsidRDefault="00000000">
      <w:pPr>
        <w:pStyle w:val="Ttulo2"/>
      </w:pPr>
      <w:r>
        <w:t>2.2. Recomendaciones de sistemas y datos</w:t>
      </w:r>
    </w:p>
    <w:p w14:paraId="12CEAE90" w14:textId="77777777" w:rsidR="00C56B0B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Implementar catálogo controlado en el sistema de POS</w:t>
      </w:r>
    </w:p>
    <w:p w14:paraId="1E0B8249" w14:textId="77777777" w:rsidR="00C56B0B" w:rsidRDefault="00000000">
      <w:pPr>
        <w:spacing w:before="60" w:after="120"/>
      </w:pPr>
      <w:r>
        <w:t xml:space="preserve">Si bien la limpieza de inconsistencias se resolvió en Power Query para este análisis, la causa raíz está en el sistema de captura: campos categóricos (marca, sucursal) deberían alimentarse de tablas maestras con </w:t>
      </w:r>
      <w:proofErr w:type="spellStart"/>
      <w:r>
        <w:t>dropdowns</w:t>
      </w:r>
      <w:proofErr w:type="spellEnd"/>
      <w:r>
        <w:t xml:space="preserve"> en lugar de permitir ingreso de texto libre. Esto evitaría tener que repetir la limpieza en cada nuevo lote de datos.</w:t>
      </w:r>
    </w:p>
    <w:p w14:paraId="3A91F84C" w14:textId="77777777" w:rsidR="00C56B0B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Establecer un proceso ETL recurrente</w:t>
      </w:r>
    </w:p>
    <w:p w14:paraId="0CEF43EB" w14:textId="77777777" w:rsidR="00C56B0B" w:rsidRDefault="00000000">
      <w:pPr>
        <w:spacing w:before="60" w:after="120"/>
      </w:pPr>
      <w:r>
        <w:t xml:space="preserve">El trabajo realizado en este proyecto fue ad-hoc. Para un uso productivo del </w:t>
      </w:r>
      <w:proofErr w:type="spellStart"/>
      <w:r>
        <w:t>dashboard</w:t>
      </w:r>
      <w:proofErr w:type="spellEnd"/>
      <w:r>
        <w:t xml:space="preserve">, se recomienda automatizar la extracción, transformación y carga (ETL) en un pipeline programado (por ejemplo, </w:t>
      </w:r>
      <w:proofErr w:type="spellStart"/>
      <w:r>
        <w:t>refresh</w:t>
      </w:r>
      <w:proofErr w:type="spellEnd"/>
      <w:r>
        <w:t xml:space="preserve"> diario o semanal en Power BI Service alimentado desde un Data </w:t>
      </w:r>
      <w:proofErr w:type="spellStart"/>
      <w:r>
        <w:t>Warehouse</w:t>
      </w:r>
      <w:proofErr w:type="spellEnd"/>
      <w:r>
        <w:t>), de modo que la limpieza no dependa de intervención manual.</w:t>
      </w:r>
    </w:p>
    <w:p w14:paraId="520D4CB6" w14:textId="77777777" w:rsidR="00C56B0B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Validar la integridad de la ficha del cliente</w:t>
      </w:r>
    </w:p>
    <w:p w14:paraId="6344C0C0" w14:textId="77777777" w:rsidR="00C56B0B" w:rsidRDefault="00000000">
      <w:pPr>
        <w:spacing w:before="60" w:after="120"/>
      </w:pPr>
      <w:r>
        <w:t>El email debe funcionar como identificador único del cliente. El sistema actual permite que dos transacciones con el mismo email tengan nombres o edades distintas. Recomendación: tratar Cliente como entidad maestra única vinculada por email, y bloquear modificaciones inconsistentes en transacciones posteriores.</w:t>
      </w:r>
    </w:p>
    <w:p w14:paraId="5FA36F66" w14:textId="77777777" w:rsidR="00C56B0B" w:rsidRDefault="00000000">
      <w:pPr>
        <w:pStyle w:val="Ttulo2"/>
      </w:pPr>
      <w:r>
        <w:t xml:space="preserve">2.3. Mejoras al </w:t>
      </w:r>
      <w:proofErr w:type="spellStart"/>
      <w:r>
        <w:t>dashboard</w:t>
      </w:r>
      <w:proofErr w:type="spellEnd"/>
    </w:p>
    <w:p w14:paraId="207A69F1" w14:textId="75CEA7EA" w:rsidR="00530003" w:rsidRDefault="00530003">
      <w:pPr>
        <w:pStyle w:val="Prrafodelista"/>
        <w:numPr>
          <w:ilvl w:val="0"/>
          <w:numId w:val="2"/>
        </w:numPr>
        <w:spacing w:before="40" w:after="60"/>
      </w:pPr>
      <w:r w:rsidRPr="00530003">
        <w:t>Gestión de períodos incompletos: Configurar el gráfico de tendencia temporal con un filtro dinámico de fecha relativa (</w:t>
      </w:r>
      <w:proofErr w:type="spellStart"/>
      <w:r w:rsidRPr="00530003">
        <w:t>relativedate</w:t>
      </w:r>
      <w:proofErr w:type="spellEnd"/>
      <w:r w:rsidRPr="00530003">
        <w:t xml:space="preserve"> </w:t>
      </w:r>
      <w:proofErr w:type="spellStart"/>
      <w:r w:rsidRPr="00530003">
        <w:t>filtering</w:t>
      </w:r>
      <w:proofErr w:type="spellEnd"/>
      <w:r w:rsidRPr="00530003">
        <w:t xml:space="preserve">) o incluir explícitamente en el título la leyenda </w:t>
      </w:r>
      <w:r w:rsidRPr="00530003">
        <w:rPr>
          <w:i/>
          <w:iCs/>
        </w:rPr>
        <w:t>(Datos YTD - Sept 2025)</w:t>
      </w:r>
      <w:r w:rsidRPr="00530003">
        <w:t>. Esto evitará ilusiones ópticas de caída en las ventas al evaluar períodos no finalizados.</w:t>
      </w:r>
    </w:p>
    <w:p w14:paraId="335F5C5D" w14:textId="6E8C8941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Incorporar una vista de Top 10 productos con drill-</w:t>
      </w:r>
      <w:proofErr w:type="spellStart"/>
      <w:r>
        <w:t>through</w:t>
      </w:r>
      <w:proofErr w:type="spellEnd"/>
      <w:r>
        <w:t xml:space="preserve"> al detalle del cliente.</w:t>
      </w:r>
    </w:p>
    <w:p w14:paraId="6C672C55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Sumar </w:t>
      </w:r>
      <w:proofErr w:type="spellStart"/>
      <w:r>
        <w:t>KPIs</w:t>
      </w:r>
      <w:proofErr w:type="spellEnd"/>
      <w:r>
        <w:t xml:space="preserve"> de margen estimado (requiere agregar costo de productos a la dimensión).</w:t>
      </w:r>
    </w:p>
    <w:p w14:paraId="4D1C9CD5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Agregar análisis </w:t>
      </w:r>
      <w:proofErr w:type="spellStart"/>
      <w:r>
        <w:t>cohort</w:t>
      </w:r>
      <w:proofErr w:type="spellEnd"/>
      <w:r>
        <w:t xml:space="preserve"> de clientes para visualizar retención mes a mes.</w:t>
      </w:r>
    </w:p>
    <w:p w14:paraId="5DB97D34" w14:textId="77777777" w:rsidR="00C56B0B" w:rsidRDefault="00000000">
      <w:pPr>
        <w:pStyle w:val="Prrafodelista"/>
        <w:numPr>
          <w:ilvl w:val="0"/>
          <w:numId w:val="2"/>
        </w:numPr>
        <w:spacing w:before="40" w:after="60"/>
      </w:pPr>
      <w:r>
        <w:t>Habilitar comparación interanual (YoY) en las visualizaciones temporales.</w:t>
      </w:r>
    </w:p>
    <w:p w14:paraId="79F2A143" w14:textId="77777777" w:rsidR="00530003" w:rsidRDefault="00530003">
      <w:pPr>
        <w:pStyle w:val="Ttulo1"/>
      </w:pPr>
    </w:p>
    <w:p w14:paraId="59B93AF0" w14:textId="77777777" w:rsidR="00530003" w:rsidRDefault="00530003">
      <w:pPr>
        <w:pStyle w:val="Ttulo1"/>
      </w:pPr>
    </w:p>
    <w:p w14:paraId="370427B1" w14:textId="77777777" w:rsidR="00530003" w:rsidRDefault="00530003">
      <w:pPr>
        <w:pStyle w:val="Ttulo1"/>
      </w:pPr>
    </w:p>
    <w:p w14:paraId="30052E53" w14:textId="3216FD67" w:rsidR="00C56B0B" w:rsidRDefault="00000000">
      <w:pPr>
        <w:pStyle w:val="Ttulo1"/>
      </w:pPr>
      <w:r>
        <w:lastRenderedPageBreak/>
        <w:t>3. Cierre</w:t>
      </w:r>
    </w:p>
    <w:p w14:paraId="51CEF859" w14:textId="77777777" w:rsidR="00C56B0B" w:rsidRDefault="00000000">
      <w:pPr>
        <w:spacing w:before="60" w:after="120"/>
      </w:pPr>
      <w:r>
        <w:t xml:space="preserve">El proyecto cumple los objetivos planteados: se construyó un modelo relacional íntegro y se implementó un </w:t>
      </w:r>
      <w:proofErr w:type="spellStart"/>
      <w:r>
        <w:t>dashboard</w:t>
      </w:r>
      <w:proofErr w:type="spellEnd"/>
      <w:r>
        <w:t xml:space="preserve"> funcional con seguridad a nivel de fila para los tres roles definidos. Las visualizaciones permiten responder preguntas como "¿qué ciudad vende más?", "¿cuáles son las marcas líderes?" y "¿cómo evoluciona la facturación en el tiempo?".</w:t>
      </w:r>
    </w:p>
    <w:p w14:paraId="0C1A5224" w14:textId="77777777" w:rsidR="00C56B0B" w:rsidRDefault="00000000">
      <w:pPr>
        <w:spacing w:before="60" w:after="120"/>
      </w:pPr>
      <w:r>
        <w:t xml:space="preserve">Los siguientes pasos naturales son industrializar el pipeline de datos y enriquecer el modelo con información que hoy no está en el </w:t>
      </w:r>
      <w:proofErr w:type="spellStart"/>
      <w:r>
        <w:t>dataset</w:t>
      </w:r>
      <w:proofErr w:type="spellEnd"/>
      <w:r>
        <w:t>: costos de producto para análisis de margen, jerarquía de productos para análisis por categoría, y datos de stock para cruzar venta con disponibilidad.</w:t>
      </w:r>
    </w:p>
    <w:sectPr w:rsidR="00C56B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AE2"/>
    <w:multiLevelType w:val="multilevel"/>
    <w:tmpl w:val="1CB2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21341"/>
    <w:multiLevelType w:val="hybridMultilevel"/>
    <w:tmpl w:val="A970AF92"/>
    <w:lvl w:ilvl="0" w:tplc="E6FE57E4">
      <w:start w:val="1"/>
      <w:numFmt w:val="decimal"/>
      <w:lvlText w:val="%1."/>
      <w:lvlJc w:val="left"/>
      <w:pPr>
        <w:ind w:left="720" w:hanging="360"/>
      </w:pPr>
    </w:lvl>
    <w:lvl w:ilvl="1" w:tplc="2C04F1FA">
      <w:numFmt w:val="decimal"/>
      <w:lvlText w:val=""/>
      <w:lvlJc w:val="left"/>
    </w:lvl>
    <w:lvl w:ilvl="2" w:tplc="BFF6D878">
      <w:numFmt w:val="decimal"/>
      <w:lvlText w:val=""/>
      <w:lvlJc w:val="left"/>
    </w:lvl>
    <w:lvl w:ilvl="3" w:tplc="307A109C">
      <w:numFmt w:val="decimal"/>
      <w:lvlText w:val=""/>
      <w:lvlJc w:val="left"/>
    </w:lvl>
    <w:lvl w:ilvl="4" w:tplc="8170068E">
      <w:numFmt w:val="decimal"/>
      <w:lvlText w:val=""/>
      <w:lvlJc w:val="left"/>
    </w:lvl>
    <w:lvl w:ilvl="5" w:tplc="F4DADB1A">
      <w:numFmt w:val="decimal"/>
      <w:lvlText w:val=""/>
      <w:lvlJc w:val="left"/>
    </w:lvl>
    <w:lvl w:ilvl="6" w:tplc="262CB442">
      <w:numFmt w:val="decimal"/>
      <w:lvlText w:val=""/>
      <w:lvlJc w:val="left"/>
    </w:lvl>
    <w:lvl w:ilvl="7" w:tplc="D7CAEC08">
      <w:numFmt w:val="decimal"/>
      <w:lvlText w:val=""/>
      <w:lvlJc w:val="left"/>
    </w:lvl>
    <w:lvl w:ilvl="8" w:tplc="94F2869C">
      <w:numFmt w:val="decimal"/>
      <w:lvlText w:val=""/>
      <w:lvlJc w:val="left"/>
    </w:lvl>
  </w:abstractNum>
  <w:abstractNum w:abstractNumId="2" w15:restartNumberingAfterBreak="0">
    <w:nsid w:val="254C1349"/>
    <w:multiLevelType w:val="hybridMultilevel"/>
    <w:tmpl w:val="08062AB4"/>
    <w:lvl w:ilvl="0" w:tplc="9C06FED4">
      <w:start w:val="1"/>
      <w:numFmt w:val="bullet"/>
      <w:lvlText w:val="●"/>
      <w:lvlJc w:val="left"/>
      <w:pPr>
        <w:ind w:left="720" w:hanging="360"/>
      </w:pPr>
    </w:lvl>
    <w:lvl w:ilvl="1" w:tplc="9C945560">
      <w:start w:val="1"/>
      <w:numFmt w:val="bullet"/>
      <w:lvlText w:val="○"/>
      <w:lvlJc w:val="left"/>
      <w:pPr>
        <w:ind w:left="1440" w:hanging="360"/>
      </w:pPr>
    </w:lvl>
    <w:lvl w:ilvl="2" w:tplc="AF723CDA">
      <w:start w:val="1"/>
      <w:numFmt w:val="bullet"/>
      <w:lvlText w:val="■"/>
      <w:lvlJc w:val="left"/>
      <w:pPr>
        <w:ind w:left="2160" w:hanging="360"/>
      </w:pPr>
    </w:lvl>
    <w:lvl w:ilvl="3" w:tplc="CC44E470">
      <w:start w:val="1"/>
      <w:numFmt w:val="bullet"/>
      <w:lvlText w:val="●"/>
      <w:lvlJc w:val="left"/>
      <w:pPr>
        <w:ind w:left="2880" w:hanging="360"/>
      </w:pPr>
    </w:lvl>
    <w:lvl w:ilvl="4" w:tplc="1B5E523A">
      <w:start w:val="1"/>
      <w:numFmt w:val="bullet"/>
      <w:lvlText w:val="○"/>
      <w:lvlJc w:val="left"/>
      <w:pPr>
        <w:ind w:left="3600" w:hanging="360"/>
      </w:pPr>
    </w:lvl>
    <w:lvl w:ilvl="5" w:tplc="FE4896BE">
      <w:start w:val="1"/>
      <w:numFmt w:val="bullet"/>
      <w:lvlText w:val="■"/>
      <w:lvlJc w:val="left"/>
      <w:pPr>
        <w:ind w:left="4320" w:hanging="360"/>
      </w:pPr>
    </w:lvl>
    <w:lvl w:ilvl="6" w:tplc="6E9A74B4">
      <w:start w:val="1"/>
      <w:numFmt w:val="bullet"/>
      <w:lvlText w:val="●"/>
      <w:lvlJc w:val="left"/>
      <w:pPr>
        <w:ind w:left="5040" w:hanging="360"/>
      </w:pPr>
    </w:lvl>
    <w:lvl w:ilvl="7" w:tplc="A8C2B902">
      <w:start w:val="1"/>
      <w:numFmt w:val="bullet"/>
      <w:lvlText w:val="●"/>
      <w:lvlJc w:val="left"/>
      <w:pPr>
        <w:ind w:left="5760" w:hanging="360"/>
      </w:pPr>
    </w:lvl>
    <w:lvl w:ilvl="8" w:tplc="F16A1D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60218D"/>
    <w:multiLevelType w:val="hybridMultilevel"/>
    <w:tmpl w:val="B15E1394"/>
    <w:lvl w:ilvl="0" w:tplc="550C002A">
      <w:start w:val="1"/>
      <w:numFmt w:val="bullet"/>
      <w:lvlText w:val="•"/>
      <w:lvlJc w:val="left"/>
      <w:pPr>
        <w:ind w:left="720" w:hanging="360"/>
      </w:pPr>
    </w:lvl>
    <w:lvl w:ilvl="1" w:tplc="BA8647CE">
      <w:numFmt w:val="decimal"/>
      <w:lvlText w:val=""/>
      <w:lvlJc w:val="left"/>
    </w:lvl>
    <w:lvl w:ilvl="2" w:tplc="0DC8029C">
      <w:numFmt w:val="decimal"/>
      <w:lvlText w:val=""/>
      <w:lvlJc w:val="left"/>
    </w:lvl>
    <w:lvl w:ilvl="3" w:tplc="6D06F6FA">
      <w:numFmt w:val="decimal"/>
      <w:lvlText w:val=""/>
      <w:lvlJc w:val="left"/>
    </w:lvl>
    <w:lvl w:ilvl="4" w:tplc="65E68C06">
      <w:numFmt w:val="decimal"/>
      <w:lvlText w:val=""/>
      <w:lvlJc w:val="left"/>
    </w:lvl>
    <w:lvl w:ilvl="5" w:tplc="58505904">
      <w:numFmt w:val="decimal"/>
      <w:lvlText w:val=""/>
      <w:lvlJc w:val="left"/>
    </w:lvl>
    <w:lvl w:ilvl="6" w:tplc="86201390">
      <w:numFmt w:val="decimal"/>
      <w:lvlText w:val=""/>
      <w:lvlJc w:val="left"/>
    </w:lvl>
    <w:lvl w:ilvl="7" w:tplc="EDBE28E8">
      <w:numFmt w:val="decimal"/>
      <w:lvlText w:val=""/>
      <w:lvlJc w:val="left"/>
    </w:lvl>
    <w:lvl w:ilvl="8" w:tplc="A2F8AD44">
      <w:numFmt w:val="decimal"/>
      <w:lvlText w:val=""/>
      <w:lvlJc w:val="left"/>
    </w:lvl>
  </w:abstractNum>
  <w:num w:numId="1" w16cid:durableId="353728187">
    <w:abstractNumId w:val="2"/>
    <w:lvlOverride w:ilvl="0">
      <w:startOverride w:val="1"/>
    </w:lvlOverride>
  </w:num>
  <w:num w:numId="2" w16cid:durableId="532155118">
    <w:abstractNumId w:val="3"/>
    <w:lvlOverride w:ilvl="0">
      <w:startOverride w:val="1"/>
    </w:lvlOverride>
  </w:num>
  <w:num w:numId="3" w16cid:durableId="73139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B0B"/>
    <w:rsid w:val="00530003"/>
    <w:rsid w:val="00BC2759"/>
    <w:rsid w:val="00C5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2D2B2"/>
  <w15:docId w15:val="{D669FBBF-1C81-4C63-AB5A-6CE4E4B6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1328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Atrio</cp:lastModifiedBy>
  <cp:revision>2</cp:revision>
  <dcterms:created xsi:type="dcterms:W3CDTF">2026-05-06T18:13:00Z</dcterms:created>
  <dcterms:modified xsi:type="dcterms:W3CDTF">2026-05-06T18:36:00Z</dcterms:modified>
</cp:coreProperties>
</file>