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rPr>
          <w:i w:val="0"/>
        </w:rPr>
      </w:r>
    </w:p>
    <w:p>
      <w:pPr>
        <w:ind w:firstLine="0"/>
      </w:pPr>
      <w:r>
        <w:rPr>
          <w:i w:val="0"/>
        </w:rPr>
      </w:r>
    </w:p>
    <w:p>
      <w:pPr>
        <w:ind w:firstLine="0"/>
      </w:pPr>
      <w:r>
        <w:rPr>
          <w:i w:val="0"/>
        </w:rPr>
      </w:r>
    </w:p>
    <w:p>
      <w:pPr>
        <w:pStyle w:val="Title"/>
        <w:ind w:firstLine="0"/>
      </w:pPr>
      <w:r>
        <w:rPr>
          <w:rFonts w:ascii="Times New Roman" w:hAnsi="Times New Roman"/>
          <w:b/>
          <w:i w:val="0"/>
          <w:sz w:val="24"/>
        </w:rPr>
        <w:t>Desarrollo de una aplicación web para el tamizaje visual de piel y ojos bovinos mediante clasificación de imágenes</w:t>
      </w:r>
    </w:p>
    <w:p>
      <w:pPr>
        <w:ind w:firstLine="0"/>
      </w:pPr>
      <w:r>
        <w:rPr>
          <w:i w:val="0"/>
        </w:rPr>
      </w:r>
    </w:p>
    <w:p>
      <w:pPr>
        <w:ind w:firstLine="0"/>
        <w:jc w:val="center"/>
      </w:pPr>
      <w:r>
        <w:rPr>
          <w:i w:val="0"/>
        </w:rPr>
        <w:t>Cristian Alejandro Carvajal Luna Orozco</w:t>
      </w:r>
    </w:p>
    <w:p>
      <w:pPr>
        <w:ind w:firstLine="0"/>
        <w:jc w:val="center"/>
      </w:pPr>
      <w:r>
        <w:rPr>
          <w:i w:val="0"/>
        </w:rPr>
        <w:t>Universidad Católica Boliviana</w:t>
      </w:r>
    </w:p>
    <w:p>
      <w:pPr>
        <w:ind w:firstLine="0"/>
        <w:jc w:val="center"/>
      </w:pPr>
      <w:r>
        <w:rPr>
          <w:i w:val="0"/>
        </w:rPr>
        <w:t>Sede Santa Cruz</w:t>
      </w:r>
    </w:p>
    <w:p>
      <w:pPr>
        <w:ind w:firstLine="0"/>
        <w:jc w:val="center"/>
      </w:pPr>
      <w:r>
        <w:rPr>
          <w:i w:val="0"/>
        </w:rPr>
        <w:t>Inteligencia Artificial</w:t>
      </w:r>
    </w:p>
    <w:p>
      <w:pPr>
        <w:ind w:firstLine="0"/>
        <w:jc w:val="center"/>
      </w:pPr>
      <w:r>
        <w:rPr>
          <w:i w:val="0"/>
        </w:rPr>
        <w:t>16 de octubre de 2026</w:t>
      </w:r>
    </w:p>
    <w:p>
      <w:r>
        <w:br w:type="page"/>
      </w:r>
    </w:p>
    <w:p>
      <w:pPr>
        <w:keepNext/>
        <w:ind w:firstLine="0"/>
        <w:jc w:val="center"/>
      </w:pPr>
      <w:r>
        <w:rPr>
          <w:b/>
          <w:i w:val="0"/>
        </w:rPr>
        <w:t>Resumen</w:t>
      </w:r>
    </w:p>
    <w:p>
      <w:pPr>
        <w:ind w:firstLine="0"/>
      </w:pPr>
      <w:r>
        <w:rPr>
          <w:i w:val="0"/>
        </w:rPr>
        <w:t>Este proyecto desarrolla una aplicación web de apoyo al tamizaje visual de piel y ojos bovinos mediante clasificación de imágenes. Integra un modelo entrenado en Teachable Machine y exportado en formato TensorFlow SavedModel, con cinco clases: piel sana, dermatosis nodular contagiosa, imagen no válida, queratoconjuntivitis infecciosa bovina y ojo sano. El trabajo organiza la preparación de datos, la integración del modelo, la evaluación y la aplicación mediante el ciclo CRISP-DM. La solución utiliza Python, TensorFlow y Streamlit, incorpora validaciones de archivos y calidad visual, y presenta una decisión con posibilidad de abstención. La revisión técnica verificó la entrada de 224 × 224 píxeles en RGB, la correspondencia de las cinco etiquetas y la ejecución de 28 pruebas automatizadas satisfactorias. También se revisaron controles de seguridad, tratamiento de metadatos y dependencias. La infraestructura para calcular exactitud, precisión, sensibilidad, F1 y matrices de confusión está implementada; sin embargo, aún no existe una evaluación independiente del modelo actual. Los archivos de muestras disponibles no acreditan por sí mismos la composición del entrenamiento ni la independencia de una futura prueba. Se concluye que el sistema es un prototipo web funcional y modular, cuyo uso predictivo requiere completar la trazabilidad de datos, confirmar el preprocesamiento y validar el desempeño con imágenes independientes. Sus resultados expresan similitud visual y no constituyen un diagnóstico veterinario.</w:t>
      </w:r>
    </w:p>
    <w:p>
      <w:r>
        <w:rPr>
          <w:i/>
        </w:rPr>
        <w:t xml:space="preserve">Palabras clave: </w:t>
      </w:r>
      <w:r>
        <w:t>aprendizaje supervisado, clasificación de imágenes, bovinos, transferencia de aprendizaje, Streamlit</w:t>
      </w:r>
    </w:p>
    <w:p>
      <w:r>
        <w:br w:type="page"/>
      </w:r>
    </w:p>
    <w:p>
      <w:pPr>
        <w:pStyle w:val="Title"/>
        <w:ind w:firstLine="0"/>
      </w:pPr>
      <w:r>
        <w:rPr>
          <w:rFonts w:ascii="Times New Roman" w:hAnsi="Times New Roman"/>
          <w:b/>
          <w:i w:val="0"/>
          <w:sz w:val="24"/>
        </w:rPr>
        <w:t>Desarrollo de una aplicación web para el tamizaje visual de piel y ojos bovinos mediante clasificación de imágenes</w:t>
      </w:r>
    </w:p>
    <w:p>
      <w:r>
        <w:rPr>
          <w:i w:val="0"/>
        </w:rPr>
        <w:t>La clasificación automática de imágenes permite construir herramientas que ordenan observaciones visuales y presentan resultados consistentes a partir de categorías previamente definidas. En este proyecto se aplica ese enfoque a fotografías de piel y ojos bovinos. La aplicación busca apoyar la observación inicial de cambios visibles y ofrecer una forma accesible de consultar la salida de un modelo, con una recomendación prudente y la posibilidad de solicitar una nueva fotografía.</w:t>
      </w:r>
    </w:p>
    <w:p>
      <w:r>
        <w:rPr>
          <w:i w:val="0"/>
        </w:rPr>
        <w:t>El producto desarrollado se denomina Bovino Piel y ojos. Su alcance actual comprende cinco categorías y una interfaz en español. El usuario carga una fotografía o utiliza la cámara del navegador; el sistema revisa el archivo, prepara la imagen, ejecuta el modelo y aplica reglas de decisión. La aplicación funciona como una web servida por Streamlit, por lo que puede consultarse desde un navegador sin convertirla a otra tecnología para su publicación.</w:t>
      </w:r>
    </w:p>
    <w:p>
      <w:r>
        <w:rPr>
          <w:i w:val="0"/>
        </w:rPr>
        <w:t>El resultado técnico principal es la integración funcional del modelo exportado con una aplicación modular y controles de entrada. La validación estadística continúa pendiente. Por esa razón, este informe presenta por separado los resultados de ingeniería de software, las características comprobadas del artefacto de aprendizaje y el protocolo requerido para medir su capacidad de generalización. La fecha de corte de la revisión es el 16 de octubre de 2026.</w:t>
      </w:r>
    </w:p>
    <w:p>
      <w:pPr>
        <w:pStyle w:val="Heading1"/>
      </w:pPr>
      <w:r>
        <w:rPr>
          <w:rFonts w:ascii="Times New Roman" w:hAnsi="Times New Roman"/>
          <w:b/>
          <w:sz w:val="24"/>
        </w:rPr>
        <w:t>Planteamiento del problema</w:t>
      </w:r>
    </w:p>
    <w:p>
      <w:r>
        <w:rPr>
          <w:i w:val="0"/>
        </w:rPr>
        <w:t>Las fotografías de animales varían en distancia, iluminación, encuadre, fondo y calidad. Un clasificador que siempre entrega una etiqueta puede producir respuestas difíciles de interpretar cuando la imagen está desenfocada, pertenece a otro dominio o no muestra adecuadamente la región de interés. Asimismo, una salida numérica elevada no acredita que exista una enfermedad ni demuestra que la etiqueta de entrenamiento haya sido confirmada por un profesional.</w:t>
      </w:r>
    </w:p>
    <w:p>
      <w:r>
        <w:rPr>
          <w:i w:val="0"/>
        </w:rPr>
        <w:t>El problema de desarrollo consiste en integrar un modelo de clasificación con una aplicación que permita cargar imágenes, interpretar sus puntuaciones y gestionar entradas inadecuadas o resultados inciertos. El problema de investigación pendiente consiste en establecer si el modelo conserva un desempeño suficiente cuando recibe fotografías independientes de las utilizadas durante su entrenamiento. Ambas preguntas requieren evidencias diferentes y no deben confundirse.</w:t>
      </w:r>
    </w:p>
    <w:p>
      <w:r>
        <w:rPr>
          <w:i w:val="0"/>
        </w:rPr>
        <w:t>La pregunta que orienta el proyecto es cómo construir una aplicación web modular para el tamizaje visual de piel y ojos bovinos que combine clasificación multiclase, validación de imágenes, abstención y trazabilidad del modelo, y que permita evaluar posteriormente su rendimiento con datos públicos independientes.</w:t>
      </w:r>
    </w:p>
    <w:p>
      <w:pPr>
        <w:pStyle w:val="Heading2"/>
      </w:pPr>
      <w:r>
        <w:rPr>
          <w:rFonts w:ascii="Times New Roman" w:hAnsi="Times New Roman"/>
          <w:b/>
          <w:sz w:val="24"/>
        </w:rPr>
        <w:t>Justificación</w:t>
      </w:r>
    </w:p>
    <w:p>
      <w:r>
        <w:rPr>
          <w:i w:val="0"/>
        </w:rPr>
        <w:t>El proyecto articula contenidos de inteligencia artificial con decisiones concretas de ingeniería de software. La preparación de datos permite estudiar desbalance y duplicados; la integración del modelo aplica inferencia y transformación de imágenes; las reglas de salida muestran el efecto de los umbrales; y el módulo de evaluación permite analizar errores por clase. La separación de responsabilidades facilita explicar cada componente y sustituir el modelo cuando se incorporan nuevas categorías.</w:t>
      </w:r>
    </w:p>
    <w:p>
      <w:r>
        <w:rPr>
          <w:i w:val="0"/>
        </w:rPr>
        <w:t>La selección de enfermedades con manifestaciones visuales da un contexto al ejercicio académico. La dermatosis nodular contagiosa es una enfermedad viral de los bovinos que puede producir nódulos cutáneos y afectar la producción y el bienestar animal; su transmisión se relaciona principalmente con artrópodos hematófagos (World Organisation for Animal Health [WOAH], 2026). La queratoconjuntivitis infecciosa puede producir lagrimeo, blefaroespasmo y cambios en la transparencia corneal (Angelos, 2024). Estas descripciones fundamentan el interés de observar la piel y los ojos, pero no convierten una fotografía en una prueba diagnóstica.</w:t>
      </w:r>
    </w:p>
    <w:p>
      <w:pPr>
        <w:pStyle w:val="Heading2"/>
      </w:pPr>
      <w:r>
        <w:rPr>
          <w:rFonts w:ascii="Times New Roman" w:hAnsi="Times New Roman"/>
          <w:b/>
          <w:sz w:val="24"/>
        </w:rPr>
        <w:t>Objetivo general</w:t>
      </w:r>
    </w:p>
    <w:p>
      <w:r>
        <w:rPr>
          <w:i w:val="0"/>
        </w:rPr>
        <w:t>Desarrollar una aplicación web de apoyo al tamizaje visual de piel y ojos bovinos mediante un modelo de clasificación de imágenes, con procesamiento reproducible, resultados interpretables, controles de entrada y una infraestructura de evaluación independiente.</w:t>
      </w:r>
    </w:p>
    <w:p>
      <w:pPr>
        <w:pStyle w:val="Heading2"/>
      </w:pPr>
      <w:r>
        <w:rPr>
          <w:rFonts w:ascii="Times New Roman" w:hAnsi="Times New Roman"/>
          <w:b/>
          <w:sz w:val="24"/>
        </w:rPr>
        <w:t>Objetivos específicos</w:t>
      </w:r>
    </w:p>
    <w:p>
      <w:pPr>
        <w:ind w:left="360" w:hanging="360"/>
      </w:pPr>
      <w:r>
        <w:rPr>
          <w:i w:val="0"/>
        </w:rPr>
        <w:t>1. Organizar el proyecto por fases de CRISP-DM y separar las funciones de preparación de datos, inferencia, decisión, evaluación y presentación.</w:t>
      </w:r>
    </w:p>
    <w:p>
      <w:pPr>
        <w:ind w:left="360" w:hanging="360"/>
      </w:pPr>
      <w:r>
        <w:rPr>
          <w:i w:val="0"/>
        </w:rPr>
        <w:t>2. Integrar el modelo exportado de Teachable Machine respetando la forma de entrada, los tipos de datos y el orden real de sus cinco etiquetas.</w:t>
      </w:r>
    </w:p>
    <w:p>
      <w:pPr>
        <w:ind w:left="360" w:hanging="360"/>
      </w:pPr>
      <w:r>
        <w:rPr>
          <w:i w:val="0"/>
        </w:rPr>
        <w:t>3. Implementar controles de archivos y calidad visual, además de reglas de rechazo y abstención configurables.</w:t>
      </w:r>
    </w:p>
    <w:p>
      <w:pPr>
        <w:ind w:left="360" w:hanging="360"/>
      </w:pPr>
      <w:r>
        <w:rPr>
          <w:i w:val="0"/>
        </w:rPr>
        <w:t>4. Construir una interfaz web con carga de imágenes, consulta de resultados, información del modelo e historial de sesión.</w:t>
      </w:r>
    </w:p>
    <w:p>
      <w:pPr>
        <w:ind w:left="360" w:hanging="360"/>
      </w:pPr>
      <w:r>
        <w:rPr>
          <w:i w:val="0"/>
        </w:rPr>
        <w:t>5. Disponer de herramientas reproducibles para identificar duplicados, dividir datos y calcular métricas por clase y matrices de confusión.</w:t>
      </w:r>
    </w:p>
    <w:p>
      <w:pPr>
        <w:ind w:left="360" w:hanging="360"/>
      </w:pPr>
      <w:r>
        <w:rPr>
          <w:i w:val="0"/>
        </w:rPr>
        <w:t>6. Verificar el comportamiento del software y revisar la exposición de secretos, las dependencias y el tratamiento de las imágenes antes de su publicación.</w:t>
      </w:r>
    </w:p>
    <w:p>
      <w:pPr>
        <w:pStyle w:val="Heading2"/>
      </w:pPr>
      <w:r>
        <w:rPr>
          <w:rFonts w:ascii="Times New Roman" w:hAnsi="Times New Roman"/>
          <w:b/>
          <w:sz w:val="24"/>
        </w:rPr>
        <w:t>Alcance y delimitaciones</w:t>
      </w:r>
    </w:p>
    <w:p>
      <w:r>
        <w:rPr>
          <w:i w:val="0"/>
        </w:rPr>
        <w:t>El sistema clasifica una fotografía completa dentro de cinco categorías mutuamente excluyentes. No identifica simultáneamente varias enfermedades, no delimita lesiones mediante recuadros y no realiza seguimiento clínico de un animal. Una fotografía clasificada como piel sana no evalúa los ojos; del mismo modo, una etiqueta de ojo sano solo se refiere al aspecto de la imagen ocular analizada.</w:t>
      </w:r>
    </w:p>
    <w:p>
      <w:r>
        <w:rPr>
          <w:i w:val="0"/>
        </w:rPr>
        <w:t>El desarrollo utiliza un modelo ya entrenado externamente. El repositorio integra y ejecuta ese artefacto, pero no reproduce su entrenamiento completo. El uso de datos se limita a fuentes públicas según el planteamiento académico, sin recolección propia de muestras de enfermedades. La aplicación no prescribe tratamientos ni dosis. Su salida debe entenderse como apoyo a la observación y a la decisión de solicitar una valoración veterinaria.</w:t>
      </w:r>
    </w:p>
    <w:p>
      <w:pPr>
        <w:pStyle w:val="Heading1"/>
      </w:pPr>
      <w:r>
        <w:rPr>
          <w:rFonts w:ascii="Times New Roman" w:hAnsi="Times New Roman"/>
          <w:b/>
          <w:sz w:val="24"/>
        </w:rPr>
        <w:t>Fundamentos conceptuales</w:t>
      </w:r>
    </w:p>
    <w:p>
      <w:pPr>
        <w:pStyle w:val="Heading2"/>
      </w:pPr>
      <w:r>
        <w:rPr>
          <w:rFonts w:ascii="Times New Roman" w:hAnsi="Times New Roman"/>
          <w:b/>
          <w:sz w:val="24"/>
        </w:rPr>
        <w:t>Aprendizaje supervisado y clasificación multiclase</w:t>
      </w:r>
    </w:p>
    <w:p>
      <w:r>
        <w:rPr>
          <w:i w:val="0"/>
        </w:rPr>
        <w:t>En el aprendizaje supervisado, un modelo relaciona ejemplos de entrada con etiquetas conocidas. En este caso, la entrada es una imagen y la etiqueta corresponde a una de las cinco clases. Durante la inferencia se recibe una fotografía nueva y se obtiene un vector de cinco puntuaciones. La clase con el valor mayor es la propuesta del clasificador antes de aplicar las reglas de aceptación.</w:t>
      </w:r>
    </w:p>
    <w:p>
      <w:r>
        <w:rPr>
          <w:i w:val="0"/>
        </w:rPr>
        <w:t>La validez de la etiqueta es tan importante como la cantidad de ejemplos. Una fotografía asignada a una clase de enfermedad puede contener un fondo característico, una marca de agua o una alteración de otra causa. El modelo podría aprender esas regularidades sin aprender el patrón que interesa. Por ello, clasificar correctamente imágenes procedentes de una misma descarga no demuestra que el sistema funcione con animales o condiciones de captura diferentes.</w:t>
      </w:r>
    </w:p>
    <w:p>
      <w:pPr>
        <w:pStyle w:val="Heading2"/>
      </w:pPr>
      <w:r>
        <w:rPr>
          <w:rFonts w:ascii="Times New Roman" w:hAnsi="Times New Roman"/>
          <w:b/>
          <w:sz w:val="24"/>
        </w:rPr>
        <w:t>Redes convolucionales y transferencia de aprendizaje</w:t>
      </w:r>
    </w:p>
    <w:p>
      <w:r>
        <w:rPr>
          <w:i w:val="0"/>
        </w:rPr>
        <w:t>Las redes convolucionales extraen patrones espaciales de una imagen mediante filtros aprendidos. Las capas iniciales suelen representar rasgos locales; las representaciones posteriores combinan esos rasgos para la tarea de clasificación. La familia MobileNet fue diseñada para reducir el costo computacional mediante convoluciones separables en profundidad y ofrecer alternativas de tamaño y velocidad para visión móvil (Howard et al., 2017).</w:t>
      </w:r>
    </w:p>
    <w:p>
      <w:r>
        <w:rPr>
          <w:i w:val="0"/>
        </w:rPr>
        <w:t>La transferencia de aprendizaje reutiliza representaciones de un modelo previamente entrenado y adapta una parte de la red a una tarea nueva. Este procedimiento permite aprovechar características visuales generales en lugar de aprender todas las representaciones desde cero (TensorFlow, 2024a). El planteamiento del proyecto identifica Teachable Machine y MobileNet como base del entrenamiento. La inspección disponible confirma la interfaz de ejecución del modelo exportado, pero no documenta por sí sola todos los hiperparámetros, las capas entrenables ni el historial de aprendizaje.</w:t>
      </w:r>
    </w:p>
    <w:p>
      <w:pPr>
        <w:pStyle w:val="Heading2"/>
      </w:pPr>
      <w:r>
        <w:rPr>
          <w:rFonts w:ascii="Times New Roman" w:hAnsi="Times New Roman"/>
          <w:b/>
          <w:sz w:val="24"/>
        </w:rPr>
        <w:t>Inferencia y preprocesamiento</w:t>
      </w:r>
    </w:p>
    <w:p>
      <w:r>
        <w:rPr>
          <w:i w:val="0"/>
        </w:rPr>
        <w:t>La inferencia es la ejecución del modelo con pesos ya aprendidos. Para que sea coherente, la imagen debe transformarse de la misma manera que durante el entrenamiento. La aplicación convierte a RGB, ajusta el encuadre mediante recorte central, utiliza una resolución de 224 × 224 y normaliza cada valor mediante la expresión x dividido entre 127,5 menos 1. De ese modo, los extremos 0 y 255 se transforman en −1 y 1, respectivamente.</w:t>
      </w:r>
    </w:p>
    <w:p>
      <w:r>
        <w:rPr>
          <w:i w:val="0"/>
        </w:rPr>
        <w:t>El ejemplo oficial de exportación de Teachable Machine muestra ese tamaño, el ajuste central y la normalización señalada (Google Creative Lab, s. f.). No obstante, comprobar únicamente la forma y el tipo del tensor no permite deducir la escala de valores que requiere un entrenamiento específico. Por ello, el proyecto mantiene pendiente la confirmación mediante comparación de predicciones con la exportación concreta.</w:t>
      </w:r>
    </w:p>
    <w:p>
      <w:pPr>
        <w:pStyle w:val="Heading2"/>
      </w:pPr>
      <w:r>
        <w:rPr>
          <w:rFonts w:ascii="Times New Roman" w:hAnsi="Times New Roman"/>
          <w:b/>
          <w:sz w:val="24"/>
        </w:rPr>
        <w:t>Evaluación y generalización</w:t>
      </w:r>
    </w:p>
    <w:p>
      <w:r>
        <w:rPr>
          <w:i w:val="0"/>
        </w:rPr>
        <w:t>La exactitud mide la proporción global de aciertos. La precisión de una clase indica cuántas de las predicciones asignadas a ella fueron correctas; la sensibilidad o recall indica cuántos de sus casos reales fueron recuperados. F1 combina precisión y sensibilidad mediante una media armónica. El soporte es el número de ejemplos reales de cada clase. La biblioteca scikit-learn permite obtener estas métricas y sus promedios en un informe de clasificación (scikit-learn developers, s. f.).</w:t>
      </w:r>
    </w:p>
    <w:p>
      <w:r>
        <w:rPr>
          <w:i w:val="0"/>
        </w:rPr>
        <w:t>El sobreajuste describe una adaptación excesiva a particularidades del entrenamiento que no se generalizan bien. Una brecha entre entrenamiento y prueba puede sugerirlo, aunque también puede deberse a diferencias entre fuentes, calidad o distribución de imágenes. Un rendimiento bajo en ambos conjuntos exige revisar capacidad del modelo, etiquetas, preparación de imágenes y diseño experimental antes de atribuirlo a una causa única.</w:t>
      </w:r>
    </w:p>
    <w:p>
      <w:pPr>
        <w:pStyle w:val="Heading2"/>
      </w:pPr>
      <w:r>
        <w:rPr>
          <w:rFonts w:ascii="Times New Roman" w:hAnsi="Times New Roman"/>
          <w:b/>
          <w:sz w:val="24"/>
        </w:rPr>
        <w:t>Decisión con abstención</w:t>
      </w:r>
    </w:p>
    <w:p>
      <w:r>
        <w:rPr>
          <w:i w:val="0"/>
        </w:rPr>
        <w:t>La abstención permite expresar que el sistema no dispone de evidencia suficiente según sus reglas. Se diferencia del rechazo por imagen no válida: este último puede provenir de controles del archivo, de filtros de calidad o de la clase aprendida NoValido. La incertidumbre, en cambio, puede presentarse incluso cuando la fotografía es técnicamente legible y pertenece al dominio esperado.</w:t>
      </w:r>
    </w:p>
    <w:p>
      <w:r>
        <w:rPr>
          <w:i w:val="0"/>
        </w:rPr>
        <w:t>El umbral es un parámetro operativo. Una puntuación del 70 % no significa que el animal tenga un 70 % de probabilidad clínica de enfermedad. Esa interpretación requeriría un estudio de calibración, un contexto de uso y evidencia diagnóstica que no forman parte de los resultados actuales. En el prototipo, el número expresa la salida del modelo para comparar categorías.</w:t>
      </w:r>
    </w:p>
    <w:p>
      <w:pPr>
        <w:pStyle w:val="Heading1"/>
      </w:pPr>
      <w:r>
        <w:rPr>
          <w:rFonts w:ascii="Times New Roman" w:hAnsi="Times New Roman"/>
          <w:b/>
          <w:sz w:val="24"/>
        </w:rPr>
        <w:t>Metodología del proyecto</w:t>
      </w:r>
    </w:p>
    <w:p>
      <w:pPr>
        <w:pStyle w:val="Heading2"/>
      </w:pPr>
      <w:r>
        <w:rPr>
          <w:rFonts w:ascii="Times New Roman" w:hAnsi="Times New Roman"/>
          <w:b/>
          <w:sz w:val="24"/>
        </w:rPr>
        <w:t>Enfoque y diseño</w:t>
      </w:r>
    </w:p>
    <w:p>
      <w:r>
        <w:rPr>
          <w:i w:val="0"/>
        </w:rPr>
        <w:t>El trabajo corresponde a un desarrollo tecnológico aplicado, con una estrategia descriptiva para documentar el software y un protocolo cuantitativo de evaluación predictiva aún por ejecutar. La unidad de análisis del clasificador es la fotografía. Las pruebas del programa utilizan casos controlados para verificar reglas, integridad y compatibilidad; la evaluación del modelo requiere imágenes reales con etiquetas justificadas e independencia respecto del entrenamiento.</w:t>
      </w:r>
    </w:p>
    <w:p>
      <w:r>
        <w:rPr>
          <w:i w:val="0"/>
        </w:rPr>
        <w:t>La organización adopta CRISP-DM como guía de trabajo. Este marco describe seis fases relacionadas y admite retrocesos entre ellas cuando los resultados obligan a revisar el problema o los datos (IBM, s. f.). En el proyecto se materializa mediante carpetas y scripts que permiten ejecutar por separado inventario, preparación, inspección, evaluación y aplicación. La Tabla 1 resume su correspondencia.</w:t>
      </w:r>
    </w:p>
    <w:p>
      <w:pPr>
        <w:keepNext/>
        <w:ind w:firstLine="0"/>
      </w:pPr>
      <w:r>
        <w:rPr>
          <w:b/>
          <w:i w:val="0"/>
        </w:rPr>
        <w:t>Tabla 1</w:t>
      </w:r>
    </w:p>
    <w:p>
      <w:pPr>
        <w:keepNext/>
        <w:ind w:firstLine="0"/>
      </w:pPr>
      <w:r>
        <w:rPr>
          <w:i/>
        </w:rPr>
        <w:t>Correspondencia entre CRISP DM y los componentes del proyecto</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90" w:type="dxa"/>
          <w:bottom w:w="90" w:type="dxa"/>
          <w:left w:w="80" w:type="dxa"/>
          <w:right w:w="80" w:type="dxa"/>
        </w:tblCellMar>
      </w:tblPr>
      <w:tblGrid>
        <w:gridCol w:w="1944"/>
        <w:gridCol w:w="5040"/>
        <w:gridCol w:w="2376"/>
      </w:tblGrid>
      <w:tr>
        <w:trPr>
          <w:cantSplit/>
          <w:tblHeader/>
        </w:trPr>
        <w:tc>
          <w:tcPr>
            <w:tcW w:type="dxa" w:w="1944"/>
            <w:vAlign w:val="center"/>
            <w:tcBorders>
              <w:bottom w:val="single" w:sz="6" w:color="000000"/>
            </w:tcBorders>
          </w:tcPr>
          <w:p>
            <w:pPr>
              <w:keepNext/>
              <w:spacing w:line="264" w:lineRule="auto" w:after="0"/>
              <w:ind w:firstLine="0"/>
              <w:jc w:val="center"/>
            </w:pPr>
            <w:r>
              <w:rPr>
                <w:b/>
                <w:sz w:val="22"/>
              </w:rPr>
              <w:t>Fase</w:t>
            </w:r>
          </w:p>
        </w:tc>
        <w:tc>
          <w:tcPr>
            <w:tcW w:type="dxa" w:w="5040"/>
            <w:vAlign w:val="center"/>
            <w:tcBorders>
              <w:bottom w:val="single" w:sz="6" w:color="000000"/>
            </w:tcBorders>
          </w:tcPr>
          <w:p>
            <w:pPr>
              <w:keepNext/>
              <w:spacing w:line="264" w:lineRule="auto" w:after="0"/>
              <w:ind w:firstLine="0"/>
            </w:pPr>
            <w:r>
              <w:rPr>
                <w:b/>
                <w:sz w:val="22"/>
              </w:rPr>
              <w:t>Aplicación en el proyecto</w:t>
            </w:r>
          </w:p>
        </w:tc>
        <w:tc>
          <w:tcPr>
            <w:tcW w:type="dxa" w:w="2376"/>
            <w:vAlign w:val="center"/>
            <w:tcBorders>
              <w:bottom w:val="single" w:sz="6" w:color="000000"/>
            </w:tcBorders>
          </w:tcPr>
          <w:p>
            <w:pPr>
              <w:keepNext/>
              <w:spacing w:line="264" w:lineRule="auto" w:after="0"/>
              <w:ind w:firstLine="0"/>
            </w:pPr>
            <w:r>
              <w:rPr>
                <w:b/>
                <w:sz w:val="22"/>
              </w:rPr>
              <w:t>Componente</w:t>
            </w:r>
          </w:p>
        </w:tc>
      </w:tr>
      <w:tr>
        <w:trPr>
          <w:cantSplit/>
        </w:trPr>
        <w:tc>
          <w:tcPr>
            <w:tcW w:type="dxa" w:w="1944"/>
            <w:vAlign w:val="center"/>
          </w:tcPr>
          <w:p>
            <w:pPr>
              <w:keepNext w:val="0"/>
              <w:spacing w:line="264" w:lineRule="auto" w:after="0"/>
              <w:ind w:firstLine="0"/>
              <w:jc w:val="center"/>
            </w:pPr>
            <w:r>
              <w:rPr>
                <w:b w:val="0"/>
                <w:sz w:val="22"/>
              </w:rPr>
              <w:t>Comprensión del problema</w:t>
            </w:r>
          </w:p>
        </w:tc>
        <w:tc>
          <w:tcPr>
            <w:tcW w:type="dxa" w:w="5040"/>
            <w:vAlign w:val="center"/>
          </w:tcPr>
          <w:p>
            <w:pPr>
              <w:keepNext w:val="0"/>
              <w:spacing w:line="264" w:lineRule="auto" w:after="0"/>
              <w:ind w:firstLine="0"/>
            </w:pPr>
            <w:r>
              <w:rPr>
                <w:b w:val="0"/>
                <w:sz w:val="22"/>
              </w:rPr>
              <w:t>Alcance de tamizaje, usuarios y restricciones</w:t>
            </w:r>
          </w:p>
        </w:tc>
        <w:tc>
          <w:tcPr>
            <w:tcW w:type="dxa" w:w="2376"/>
            <w:vAlign w:val="center"/>
          </w:tcPr>
          <w:p>
            <w:pPr>
              <w:keepNext w:val="0"/>
              <w:spacing w:line="264" w:lineRule="auto" w:after="0"/>
              <w:ind w:firstLine="0"/>
            </w:pPr>
            <w:r>
              <w:rPr>
                <w:b w:val="0"/>
                <w:sz w:val="22"/>
              </w:rPr>
              <w:t>README.md y config.json</w:t>
            </w:r>
          </w:p>
        </w:tc>
      </w:tr>
      <w:tr>
        <w:trPr>
          <w:cantSplit/>
        </w:trPr>
        <w:tc>
          <w:tcPr>
            <w:tcW w:type="dxa" w:w="1944"/>
            <w:vAlign w:val="center"/>
          </w:tcPr>
          <w:p>
            <w:pPr>
              <w:keepNext w:val="0"/>
              <w:spacing w:line="264" w:lineRule="auto" w:after="0"/>
              <w:ind w:firstLine="0"/>
              <w:jc w:val="center"/>
            </w:pPr>
            <w:r>
              <w:rPr>
                <w:b w:val="0"/>
                <w:sz w:val="22"/>
              </w:rPr>
              <w:t>Comprensión de datos</w:t>
            </w:r>
          </w:p>
        </w:tc>
        <w:tc>
          <w:tcPr>
            <w:tcW w:type="dxa" w:w="5040"/>
            <w:vAlign w:val="center"/>
          </w:tcPr>
          <w:p>
            <w:pPr>
              <w:keepNext w:val="0"/>
              <w:spacing w:line="264" w:lineRule="auto" w:after="0"/>
              <w:ind w:firstLine="0"/>
            </w:pPr>
            <w:r>
              <w:rPr>
                <w:b w:val="0"/>
                <w:sz w:val="22"/>
              </w:rPr>
              <w:t>Inventario, desbalance y duplicados</w:t>
            </w:r>
          </w:p>
        </w:tc>
        <w:tc>
          <w:tcPr>
            <w:tcW w:type="dxa" w:w="2376"/>
            <w:vAlign w:val="center"/>
          </w:tcPr>
          <w:p>
            <w:pPr>
              <w:keepNext w:val="0"/>
              <w:spacing w:line="264" w:lineRule="auto" w:after="0"/>
              <w:ind w:firstLine="0"/>
            </w:pPr>
            <w:r>
              <w:rPr>
                <w:b w:val="0"/>
                <w:sz w:val="22"/>
              </w:rPr>
              <w:t>01_datos</w:t>
            </w:r>
          </w:p>
        </w:tc>
      </w:tr>
      <w:tr>
        <w:trPr>
          <w:cantSplit/>
        </w:trPr>
        <w:tc>
          <w:tcPr>
            <w:tcW w:type="dxa" w:w="1944"/>
            <w:vAlign w:val="center"/>
          </w:tcPr>
          <w:p>
            <w:pPr>
              <w:keepNext w:val="0"/>
              <w:spacing w:line="264" w:lineRule="auto" w:after="0"/>
              <w:ind w:firstLine="0"/>
              <w:jc w:val="center"/>
            </w:pPr>
            <w:r>
              <w:rPr>
                <w:b w:val="0"/>
                <w:sz w:val="22"/>
              </w:rPr>
              <w:t>Preparación</w:t>
            </w:r>
          </w:p>
        </w:tc>
        <w:tc>
          <w:tcPr>
            <w:tcW w:type="dxa" w:w="5040"/>
            <w:vAlign w:val="center"/>
          </w:tcPr>
          <w:p>
            <w:pPr>
              <w:keepNext w:val="0"/>
              <w:spacing w:line="264" w:lineRule="auto" w:after="0"/>
              <w:ind w:firstLine="0"/>
            </w:pPr>
            <w:r>
              <w:rPr>
                <w:b w:val="0"/>
                <w:sz w:val="22"/>
              </w:rPr>
              <w:t>División reproducible y manifiesto</w:t>
            </w:r>
          </w:p>
        </w:tc>
        <w:tc>
          <w:tcPr>
            <w:tcW w:type="dxa" w:w="2376"/>
            <w:vAlign w:val="center"/>
          </w:tcPr>
          <w:p>
            <w:pPr>
              <w:keepNext w:val="0"/>
              <w:spacing w:line="264" w:lineRule="auto" w:after="0"/>
              <w:ind w:firstLine="0"/>
            </w:pPr>
            <w:r>
              <w:rPr>
                <w:b w:val="0"/>
                <w:sz w:val="22"/>
              </w:rPr>
              <w:t>02_preparacion</w:t>
            </w:r>
          </w:p>
        </w:tc>
      </w:tr>
      <w:tr>
        <w:trPr>
          <w:cantSplit/>
        </w:trPr>
        <w:tc>
          <w:tcPr>
            <w:tcW w:type="dxa" w:w="1944"/>
            <w:vAlign w:val="center"/>
          </w:tcPr>
          <w:p>
            <w:pPr>
              <w:keepNext w:val="0"/>
              <w:spacing w:line="264" w:lineRule="auto" w:after="0"/>
              <w:ind w:firstLine="0"/>
              <w:jc w:val="center"/>
            </w:pPr>
            <w:r>
              <w:rPr>
                <w:b w:val="0"/>
                <w:sz w:val="22"/>
              </w:rPr>
              <w:t>Modelado</w:t>
            </w:r>
          </w:p>
        </w:tc>
        <w:tc>
          <w:tcPr>
            <w:tcW w:type="dxa" w:w="5040"/>
            <w:vAlign w:val="center"/>
          </w:tcPr>
          <w:p>
            <w:pPr>
              <w:keepNext w:val="0"/>
              <w:spacing w:line="264" w:lineRule="auto" w:after="0"/>
              <w:ind w:firstLine="0"/>
            </w:pPr>
            <w:r>
              <w:rPr>
                <w:b w:val="0"/>
                <w:sz w:val="22"/>
              </w:rPr>
              <w:t>Entrenamiento externo e inspección del modelo</w:t>
            </w:r>
          </w:p>
        </w:tc>
        <w:tc>
          <w:tcPr>
            <w:tcW w:type="dxa" w:w="2376"/>
            <w:vAlign w:val="center"/>
          </w:tcPr>
          <w:p>
            <w:pPr>
              <w:keepNext w:val="0"/>
              <w:spacing w:line="264" w:lineRule="auto" w:after="0"/>
              <w:ind w:firstLine="0"/>
            </w:pPr>
            <w:r>
              <w:rPr>
                <w:b w:val="0"/>
                <w:sz w:val="22"/>
              </w:rPr>
              <w:t>Teachable Machine y 03_modelo</w:t>
            </w:r>
          </w:p>
        </w:tc>
      </w:tr>
      <w:tr>
        <w:trPr>
          <w:cantSplit/>
        </w:trPr>
        <w:tc>
          <w:tcPr>
            <w:tcW w:type="dxa" w:w="1944"/>
            <w:vAlign w:val="center"/>
          </w:tcPr>
          <w:p>
            <w:pPr>
              <w:keepNext w:val="0"/>
              <w:spacing w:line="264" w:lineRule="auto" w:after="0"/>
              <w:ind w:firstLine="0"/>
              <w:jc w:val="center"/>
            </w:pPr>
            <w:r>
              <w:rPr>
                <w:b w:val="0"/>
                <w:sz w:val="22"/>
              </w:rPr>
              <w:t>Evaluación</w:t>
            </w:r>
          </w:p>
        </w:tc>
        <w:tc>
          <w:tcPr>
            <w:tcW w:type="dxa" w:w="5040"/>
            <w:vAlign w:val="center"/>
          </w:tcPr>
          <w:p>
            <w:pPr>
              <w:keepNext w:val="0"/>
              <w:spacing w:line="264" w:lineRule="auto" w:after="0"/>
              <w:ind w:firstLine="0"/>
            </w:pPr>
            <w:r>
              <w:rPr>
                <w:b w:val="0"/>
                <w:sz w:val="22"/>
              </w:rPr>
              <w:t>Métricas, matrices e integridad de particiones</w:t>
            </w:r>
          </w:p>
        </w:tc>
        <w:tc>
          <w:tcPr>
            <w:tcW w:type="dxa" w:w="2376"/>
            <w:vAlign w:val="center"/>
          </w:tcPr>
          <w:p>
            <w:pPr>
              <w:keepNext w:val="0"/>
              <w:spacing w:line="264" w:lineRule="auto" w:after="0"/>
              <w:ind w:firstLine="0"/>
            </w:pPr>
            <w:r>
              <w:rPr>
                <w:b w:val="0"/>
                <w:sz w:val="22"/>
              </w:rPr>
              <w:t>04_evaluacion</w:t>
            </w:r>
          </w:p>
        </w:tc>
      </w:tr>
      <w:tr>
        <w:trPr>
          <w:cantSplit/>
        </w:trPr>
        <w:tc>
          <w:tcPr>
            <w:tcW w:type="dxa" w:w="1944"/>
            <w:vAlign w:val="center"/>
          </w:tcPr>
          <w:p>
            <w:pPr>
              <w:keepNext/>
              <w:spacing w:line="264" w:lineRule="auto" w:after="0"/>
              <w:ind w:firstLine="0"/>
              <w:jc w:val="center"/>
            </w:pPr>
            <w:r>
              <w:rPr>
                <w:b w:val="0"/>
                <w:sz w:val="22"/>
              </w:rPr>
              <w:t>Despliegue</w:t>
            </w:r>
          </w:p>
        </w:tc>
        <w:tc>
          <w:tcPr>
            <w:tcW w:type="dxa" w:w="5040"/>
            <w:vAlign w:val="center"/>
          </w:tcPr>
          <w:p>
            <w:pPr>
              <w:keepNext/>
              <w:spacing w:line="264" w:lineRule="auto" w:after="0"/>
              <w:ind w:firstLine="0"/>
            </w:pPr>
            <w:r>
              <w:rPr>
                <w:b w:val="0"/>
                <w:sz w:val="22"/>
              </w:rPr>
              <w:t>Interfaz, operación y guía de publicación</w:t>
            </w:r>
          </w:p>
        </w:tc>
        <w:tc>
          <w:tcPr>
            <w:tcW w:type="dxa" w:w="2376"/>
            <w:vAlign w:val="center"/>
          </w:tcPr>
          <w:p>
            <w:pPr>
              <w:keepNext/>
              <w:spacing w:line="264" w:lineRule="auto" w:after="0"/>
              <w:ind w:firstLine="0"/>
            </w:pPr>
            <w:r>
              <w:rPr>
                <w:b w:val="0"/>
                <w:sz w:val="22"/>
              </w:rPr>
              <w:t>05_app y PUBLICAR.md</w:t>
            </w:r>
          </w:p>
        </w:tc>
      </w:tr>
    </w:tbl>
    <w:p>
      <w:pPr>
        <w:keepLines/>
        <w:ind w:firstLine="0"/>
      </w:pPr>
      <w:r>
        <w:rPr>
          <w:i/>
        </w:rPr>
        <w:t xml:space="preserve">Nota. </w:t>
      </w:r>
      <w:r>
        <w:t>Elaboración propia a partir de la estructura del proyecto. La correspondencia organiza el trabajo; no implica que todas las fases experimentales estén concluidas.</w:t>
      </w:r>
    </w:p>
    <w:p>
      <w:pPr>
        <w:pStyle w:val="Heading2"/>
      </w:pPr>
      <w:r>
        <w:rPr>
          <w:rFonts w:ascii="Times New Roman" w:hAnsi="Times New Roman"/>
          <w:b/>
          <w:sz w:val="24"/>
        </w:rPr>
        <w:t>Procedencia y estado de los datos</w:t>
      </w:r>
    </w:p>
    <w:p>
      <w:r>
        <w:rPr>
          <w:i w:val="0"/>
        </w:rPr>
        <w:t>Las fuentes declaradas para las clases cutáneas son un conjunto denominado Lumpy Skin Images Dataset de Mendeley y un conjunto de LSD de Kaggle. No se dispone de un registro completo con autores, URL exacta, versión y licencia para vincular esas descargas con el entrenamiento actual. La procedencia específica de las clases oculares y de rechazo también debe documentarse. El acceso público a una imagen no acredita automáticamente permiso para redistribuirla.</w:t>
      </w:r>
    </w:p>
    <w:p>
      <w:r>
        <w:rPr>
          <w:i w:val="0"/>
        </w:rPr>
        <w:t>La revisión local encontró cuatro archivos ZIP de muestras en DataSetsDeEntrenamiento. El recuento se realizó sobre entradas con extensión de imagen, sin extraerlas ni convertir ese inventario en una evaluación de calidad. Se contaron 782 entradas en PielSana, 621 en PielConLSD, 648 en NoValida y 546 en OjoSano. No se encontró un ZIP de muestras OjoRosado en esa carpeta durante el inventario. La Tabla 2 presenta los valores y su alcance.</w:t>
      </w:r>
    </w:p>
    <w:p>
      <w:pPr>
        <w:keepNext/>
        <w:ind w:firstLine="0"/>
      </w:pPr>
      <w:r>
        <w:rPr>
          <w:b/>
          <w:i w:val="0"/>
        </w:rPr>
        <w:t>Tabla 2</w:t>
      </w:r>
    </w:p>
    <w:p>
      <w:pPr>
        <w:keepNext/>
        <w:ind w:firstLine="0"/>
      </w:pPr>
      <w:r>
        <w:rPr>
          <w:i/>
        </w:rPr>
        <w:t>Inventario de entradas de imagen en los archivos de muestras</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90" w:type="dxa"/>
          <w:bottom w:w="90" w:type="dxa"/>
          <w:left w:w="80" w:type="dxa"/>
          <w:right w:w="80" w:type="dxa"/>
        </w:tblCellMar>
      </w:tblPr>
      <w:tblGrid>
        <w:gridCol w:w="4032"/>
        <w:gridCol w:w="1080"/>
        <w:gridCol w:w="4248"/>
      </w:tblGrid>
      <w:tr>
        <w:trPr>
          <w:cantSplit/>
          <w:tblHeader/>
        </w:trPr>
        <w:tc>
          <w:tcPr>
            <w:tcW w:type="dxa" w:w="4032"/>
            <w:vAlign w:val="center"/>
            <w:tcBorders>
              <w:bottom w:val="single" w:sz="6" w:color="000000"/>
            </w:tcBorders>
          </w:tcPr>
          <w:p>
            <w:pPr>
              <w:keepNext/>
              <w:spacing w:line="264" w:lineRule="auto" w:after="0"/>
              <w:ind w:firstLine="0"/>
            </w:pPr>
            <w:r>
              <w:rPr>
                <w:b/>
                <w:sz w:val="22"/>
              </w:rPr>
              <w:t>Archivo ZIP</w:t>
            </w:r>
          </w:p>
        </w:tc>
        <w:tc>
          <w:tcPr>
            <w:tcW w:type="dxa" w:w="1080"/>
            <w:vAlign w:val="center"/>
            <w:tcBorders>
              <w:bottom w:val="single" w:sz="6" w:color="000000"/>
            </w:tcBorders>
          </w:tcPr>
          <w:p>
            <w:pPr>
              <w:keepNext/>
              <w:spacing w:line="264" w:lineRule="auto" w:after="0"/>
              <w:ind w:firstLine="0"/>
              <w:jc w:val="center"/>
            </w:pPr>
            <w:r>
              <w:rPr>
                <w:b/>
                <w:sz w:val="22"/>
              </w:rPr>
              <w:t>Entradas</w:t>
            </w:r>
          </w:p>
        </w:tc>
        <w:tc>
          <w:tcPr>
            <w:tcW w:type="dxa" w:w="4248"/>
            <w:vAlign w:val="center"/>
            <w:tcBorders>
              <w:bottom w:val="single" w:sz="6" w:color="000000"/>
            </w:tcBorders>
          </w:tcPr>
          <w:p>
            <w:pPr>
              <w:keepNext/>
              <w:spacing w:line="264" w:lineRule="auto" w:after="0"/>
              <w:ind w:firstLine="0"/>
            </w:pPr>
            <w:r>
              <w:rPr>
                <w:b/>
                <w:sz w:val="22"/>
              </w:rPr>
              <w:t>Interpretación</w:t>
            </w:r>
          </w:p>
        </w:tc>
      </w:tr>
      <w:tr>
        <w:trPr>
          <w:cantSplit/>
        </w:trPr>
        <w:tc>
          <w:tcPr>
            <w:tcW w:type="dxa" w:w="4032"/>
            <w:vAlign w:val="center"/>
          </w:tcPr>
          <w:p>
            <w:pPr>
              <w:keepNext w:val="0"/>
              <w:spacing w:line="264" w:lineRule="auto" w:after="0"/>
              <w:ind w:firstLine="0"/>
            </w:pPr>
            <w:r>
              <w:rPr>
                <w:b w:val="0"/>
                <w:sz w:val="22"/>
              </w:rPr>
              <w:t>PielSana-samples.zip</w:t>
            </w:r>
          </w:p>
        </w:tc>
        <w:tc>
          <w:tcPr>
            <w:tcW w:type="dxa" w:w="1080"/>
            <w:vAlign w:val="center"/>
          </w:tcPr>
          <w:p>
            <w:pPr>
              <w:keepNext w:val="0"/>
              <w:spacing w:line="264" w:lineRule="auto" w:after="0"/>
              <w:ind w:firstLine="0"/>
              <w:jc w:val="center"/>
            </w:pPr>
            <w:r>
              <w:rPr>
                <w:b w:val="0"/>
                <w:sz w:val="22"/>
              </w:rPr>
              <w:t>782</w:t>
            </w:r>
          </w:p>
        </w:tc>
        <w:tc>
          <w:tcPr>
            <w:tcW w:type="dxa" w:w="4248"/>
            <w:vAlign w:val="center"/>
          </w:tcPr>
          <w:p>
            <w:pPr>
              <w:keepNext w:val="0"/>
              <w:spacing w:line="264" w:lineRule="auto" w:after="0"/>
              <w:ind w:firstLine="0"/>
            </w:pPr>
            <w:r>
              <w:rPr>
                <w:b w:val="0"/>
                <w:sz w:val="22"/>
              </w:rPr>
              <w:t>Inventario disponible</w:t>
            </w:r>
          </w:p>
        </w:tc>
      </w:tr>
      <w:tr>
        <w:trPr>
          <w:cantSplit/>
        </w:trPr>
        <w:tc>
          <w:tcPr>
            <w:tcW w:type="dxa" w:w="4032"/>
            <w:vAlign w:val="center"/>
          </w:tcPr>
          <w:p>
            <w:pPr>
              <w:keepNext w:val="0"/>
              <w:spacing w:line="264" w:lineRule="auto" w:after="0"/>
              <w:ind w:firstLine="0"/>
            </w:pPr>
            <w:r>
              <w:rPr>
                <w:b w:val="0"/>
                <w:sz w:val="22"/>
              </w:rPr>
              <w:t>PielConLSD-samples.zip</w:t>
            </w:r>
          </w:p>
        </w:tc>
        <w:tc>
          <w:tcPr>
            <w:tcW w:type="dxa" w:w="1080"/>
            <w:vAlign w:val="center"/>
          </w:tcPr>
          <w:p>
            <w:pPr>
              <w:keepNext w:val="0"/>
              <w:spacing w:line="264" w:lineRule="auto" w:after="0"/>
              <w:ind w:firstLine="0"/>
              <w:jc w:val="center"/>
            </w:pPr>
            <w:r>
              <w:rPr>
                <w:b w:val="0"/>
                <w:sz w:val="22"/>
              </w:rPr>
              <w:t>621</w:t>
            </w:r>
          </w:p>
        </w:tc>
        <w:tc>
          <w:tcPr>
            <w:tcW w:type="dxa" w:w="4248"/>
            <w:vAlign w:val="center"/>
          </w:tcPr>
          <w:p>
            <w:pPr>
              <w:keepNext w:val="0"/>
              <w:spacing w:line="264" w:lineRule="auto" w:after="0"/>
              <w:ind w:firstLine="0"/>
            </w:pPr>
            <w:r>
              <w:rPr>
                <w:b w:val="0"/>
                <w:sz w:val="22"/>
              </w:rPr>
              <w:t>Inventario disponible</w:t>
            </w:r>
          </w:p>
        </w:tc>
      </w:tr>
      <w:tr>
        <w:trPr>
          <w:cantSplit/>
        </w:trPr>
        <w:tc>
          <w:tcPr>
            <w:tcW w:type="dxa" w:w="4032"/>
            <w:vAlign w:val="center"/>
          </w:tcPr>
          <w:p>
            <w:pPr>
              <w:keepNext w:val="0"/>
              <w:spacing w:line="264" w:lineRule="auto" w:after="0"/>
              <w:ind w:firstLine="0"/>
            </w:pPr>
            <w:r>
              <w:rPr>
                <w:b w:val="0"/>
                <w:sz w:val="22"/>
              </w:rPr>
              <w:t>NoValida-samples.zip</w:t>
            </w:r>
          </w:p>
        </w:tc>
        <w:tc>
          <w:tcPr>
            <w:tcW w:type="dxa" w:w="1080"/>
            <w:vAlign w:val="center"/>
          </w:tcPr>
          <w:p>
            <w:pPr>
              <w:keepNext w:val="0"/>
              <w:spacing w:line="264" w:lineRule="auto" w:after="0"/>
              <w:ind w:firstLine="0"/>
              <w:jc w:val="center"/>
            </w:pPr>
            <w:r>
              <w:rPr>
                <w:b w:val="0"/>
                <w:sz w:val="22"/>
              </w:rPr>
              <w:t>648</w:t>
            </w:r>
          </w:p>
        </w:tc>
        <w:tc>
          <w:tcPr>
            <w:tcW w:type="dxa" w:w="4248"/>
            <w:vAlign w:val="center"/>
          </w:tcPr>
          <w:p>
            <w:pPr>
              <w:keepNext w:val="0"/>
              <w:spacing w:line="264" w:lineRule="auto" w:after="0"/>
              <w:ind w:firstLine="0"/>
            </w:pPr>
            <w:r>
              <w:rPr>
                <w:b w:val="0"/>
                <w:sz w:val="22"/>
              </w:rPr>
              <w:t>Inventario disponible</w:t>
            </w:r>
          </w:p>
        </w:tc>
      </w:tr>
      <w:tr>
        <w:trPr>
          <w:cantSplit/>
        </w:trPr>
        <w:tc>
          <w:tcPr>
            <w:tcW w:type="dxa" w:w="4032"/>
            <w:vAlign w:val="center"/>
          </w:tcPr>
          <w:p>
            <w:pPr>
              <w:keepNext w:val="0"/>
              <w:spacing w:line="264" w:lineRule="auto" w:after="0"/>
              <w:ind w:firstLine="0"/>
            </w:pPr>
            <w:r>
              <w:rPr>
                <w:b w:val="0"/>
                <w:sz w:val="22"/>
              </w:rPr>
              <w:t>OjoSano-samples.zip</w:t>
            </w:r>
          </w:p>
        </w:tc>
        <w:tc>
          <w:tcPr>
            <w:tcW w:type="dxa" w:w="1080"/>
            <w:vAlign w:val="center"/>
          </w:tcPr>
          <w:p>
            <w:pPr>
              <w:keepNext w:val="0"/>
              <w:spacing w:line="264" w:lineRule="auto" w:after="0"/>
              <w:ind w:firstLine="0"/>
              <w:jc w:val="center"/>
            </w:pPr>
            <w:r>
              <w:rPr>
                <w:b w:val="0"/>
                <w:sz w:val="22"/>
              </w:rPr>
              <w:t>546</w:t>
            </w:r>
          </w:p>
        </w:tc>
        <w:tc>
          <w:tcPr>
            <w:tcW w:type="dxa" w:w="4248"/>
            <w:vAlign w:val="center"/>
          </w:tcPr>
          <w:p>
            <w:pPr>
              <w:keepNext w:val="0"/>
              <w:spacing w:line="264" w:lineRule="auto" w:after="0"/>
              <w:ind w:firstLine="0"/>
            </w:pPr>
            <w:r>
              <w:rPr>
                <w:b w:val="0"/>
                <w:sz w:val="22"/>
              </w:rPr>
              <w:t>Inventario disponible</w:t>
            </w:r>
          </w:p>
        </w:tc>
      </w:tr>
      <w:tr>
        <w:trPr>
          <w:cantSplit/>
        </w:trPr>
        <w:tc>
          <w:tcPr>
            <w:tcW w:type="dxa" w:w="4032"/>
            <w:vAlign w:val="center"/>
          </w:tcPr>
          <w:p>
            <w:pPr>
              <w:keepNext w:val="0"/>
              <w:spacing w:line="264" w:lineRule="auto" w:after="0"/>
              <w:ind w:firstLine="0"/>
            </w:pPr>
            <w:r>
              <w:rPr>
                <w:b w:val="0"/>
                <w:sz w:val="22"/>
              </w:rPr>
              <w:t>OjoRosado</w:t>
            </w:r>
          </w:p>
        </w:tc>
        <w:tc>
          <w:tcPr>
            <w:tcW w:type="dxa" w:w="1080"/>
            <w:vAlign w:val="center"/>
          </w:tcPr>
          <w:p>
            <w:pPr>
              <w:keepNext w:val="0"/>
              <w:spacing w:line="264" w:lineRule="auto" w:after="0"/>
              <w:ind w:firstLine="0"/>
              <w:jc w:val="center"/>
            </w:pPr>
            <w:r>
              <w:rPr>
                <w:b w:val="0"/>
                <w:sz w:val="22"/>
              </w:rPr>
              <w:t>No consta</w:t>
            </w:r>
          </w:p>
        </w:tc>
        <w:tc>
          <w:tcPr>
            <w:tcW w:type="dxa" w:w="4248"/>
            <w:vAlign w:val="center"/>
          </w:tcPr>
          <w:p>
            <w:pPr>
              <w:keepNext w:val="0"/>
              <w:spacing w:line="264" w:lineRule="auto" w:after="0"/>
              <w:ind w:firstLine="0"/>
            </w:pPr>
            <w:r>
              <w:rPr>
                <w:b w:val="0"/>
                <w:sz w:val="22"/>
              </w:rPr>
              <w:t>Sin ZIP de muestras en la carpeta revisada</w:t>
            </w:r>
          </w:p>
        </w:tc>
      </w:tr>
      <w:tr>
        <w:trPr>
          <w:cantSplit/>
        </w:trPr>
        <w:tc>
          <w:tcPr>
            <w:tcW w:type="dxa" w:w="4032"/>
            <w:vAlign w:val="center"/>
          </w:tcPr>
          <w:p>
            <w:pPr>
              <w:keepNext/>
              <w:spacing w:line="264" w:lineRule="auto" w:after="0"/>
              <w:ind w:firstLine="0"/>
            </w:pPr>
            <w:r>
              <w:rPr>
                <w:b w:val="0"/>
                <w:sz w:val="22"/>
              </w:rPr>
              <w:t>Total de entradas observadas</w:t>
            </w:r>
          </w:p>
        </w:tc>
        <w:tc>
          <w:tcPr>
            <w:tcW w:type="dxa" w:w="1080"/>
            <w:vAlign w:val="center"/>
          </w:tcPr>
          <w:p>
            <w:pPr>
              <w:keepNext/>
              <w:spacing w:line="264" w:lineRule="auto" w:after="0"/>
              <w:ind w:firstLine="0"/>
              <w:jc w:val="center"/>
            </w:pPr>
            <w:r>
              <w:rPr>
                <w:b w:val="0"/>
                <w:sz w:val="22"/>
              </w:rPr>
              <w:t>2.597</w:t>
            </w:r>
          </w:p>
        </w:tc>
        <w:tc>
          <w:tcPr>
            <w:tcW w:type="dxa" w:w="4248"/>
            <w:vAlign w:val="center"/>
          </w:tcPr>
          <w:p>
            <w:pPr>
              <w:keepNext/>
              <w:spacing w:line="264" w:lineRule="auto" w:after="0"/>
              <w:ind w:firstLine="0"/>
            </w:pPr>
            <w:r>
              <w:rPr>
                <w:b w:val="0"/>
                <w:sz w:val="22"/>
              </w:rPr>
              <w:t>Cuatro ZIP; no representa imágenes únicas</w:t>
            </w:r>
          </w:p>
        </w:tc>
      </w:tr>
    </w:tbl>
    <w:p>
      <w:pPr>
        <w:keepLines/>
        <w:ind w:firstLine="0"/>
      </w:pPr>
      <w:r>
        <w:rPr>
          <w:i/>
        </w:rPr>
        <w:t xml:space="preserve">Nota. </w:t>
      </w:r>
      <w:r>
        <w:t>Recuento del 16 de octubre de 2026 por extensión de imagen dentro de DataSetsDeEntrenamiento. No verifica decodificación, duplicados, etiquetas ni uso efectivo en el entrenamiento.</w:t>
      </w:r>
    </w:p>
    <w:p>
      <w:r>
        <w:rPr>
          <w:i w:val="0"/>
        </w:rPr>
        <w:t>Estos 2.597 registros no equivalen a 2.597 fotografías únicas, legibles o efectivamente utilizadas para entrenar. Pueden existir duplicados y el conjunto del entrenamiento puede provenir de otra ubicación. El número actual de PielSana también difiere de las 853 imágenes mencionadas inicialmente en el planteamiento. La discrepancia exige conservar las versiones de los datos; no corresponde reemplazar un recuento por otro sin identificar la exportación a la que pertenece.</w:t>
      </w:r>
    </w:p>
    <w:p>
      <w:r>
        <w:rPr>
          <w:i w:val="0"/>
        </w:rPr>
        <w:t>En las rutas operativas del flujo, 01_datos/originales no contiene imágenes y no se dispone de la división de entrenamiento y prueba preparada para esta evaluación. En 04_evaluacion/resultados solo existen los informes iniciales de conteo y duplicados. Sus valores no describen las imágenes contenidas en los ZIP de muestras, porque esos archivos no se importan automáticamente al flujo.</w:t>
      </w:r>
    </w:p>
    <w:p>
      <w:pPr>
        <w:pStyle w:val="Heading2"/>
      </w:pPr>
      <w:r>
        <w:rPr>
          <w:rFonts w:ascii="Times New Roman" w:hAnsi="Times New Roman"/>
          <w:b/>
          <w:sz w:val="24"/>
        </w:rPr>
        <w:t>Preparación e integridad</w:t>
      </w:r>
    </w:p>
    <w:p>
      <w:r>
        <w:rPr>
          <w:i w:val="0"/>
        </w:rPr>
        <w:t>El script de conteo revisa las carpetas configuradas, identifica imágenes legibles por clase y calcula la relación entre la clase mayoritaria y la minoritaria. Un valor superior a 1,5 produce una advertencia. Si falta una clase, se informa esa condición y no se presenta una razón numérica engañosa. Este indicador sirve para revisar la distribución, aunque no mide diversidad de animales, cámaras o procedencias.</w:t>
      </w:r>
    </w:p>
    <w:p>
      <w:r>
        <w:rPr>
          <w:i w:val="0"/>
        </w:rPr>
        <w:t>La detección de duplicados compara hashes SHA-256 del archivo y de los píxeles normalizados. La segunda comparación permite identificar imágenes equivalentes aunque cambien ciertos metadatos o el contenedor. Las coincidencias entre etiquetas se consideran conflictos que deben resolverse. Este control no detecta todas las fotografías casi idénticas, secuencias del mismo animal ni versiones recompuestas; esas relaciones necesitan revisión adicional o metadatos de agrupación.</w:t>
      </w:r>
    </w:p>
    <w:p>
      <w:r>
        <w:rPr>
          <w:i w:val="0"/>
        </w:rPr>
        <w:t>La división reserva 30 imágenes únicas por clase para prueba con semilla 42 y deja las restantes para entrenamiento. Se requiere al menos una imagen adicional por clase para formar el conjunto de entrenamiento. El proceso conserva los originales, evita sobrescribir una división existente y genera un manifiesto con rutas, selección y hashes. La reserva de cinco clases produciría 150 imágenes de prueba si todas cumplen los requisitos, pero esa cantidad todavía representa una configuración prevista.</w:t>
      </w:r>
    </w:p>
    <w:p>
      <w:r>
        <w:rPr>
          <w:i w:val="0"/>
        </w:rPr>
        <w:t>La división debe hacerse antes de entrenar. Separar ahora imágenes que ya vio el modelo no produce una prueba independiente. Para completar el estudio se debe reentrenar utilizando únicamente el conjunto asignado a entrenamiento o incorporar una prueba pública independiente. Además, conviene mantener un conjunto de validación separado para ajustar umbrales, sin reutilizar la prueba final. Cuando existan identificadores de animal, finca, secuencia o fuente, la separación debe impedir que un mismo grupo aparezca en ambos lados.</w:t>
      </w:r>
    </w:p>
    <w:p>
      <w:pPr>
        <w:pStyle w:val="Heading2"/>
      </w:pPr>
      <w:r>
        <w:rPr>
          <w:rFonts w:ascii="Times New Roman" w:hAnsi="Times New Roman"/>
          <w:b/>
          <w:sz w:val="24"/>
        </w:rPr>
        <w:t>Entrenamiento externo y versión utilizada</w:t>
      </w:r>
    </w:p>
    <w:p>
      <w:r>
        <w:rPr>
          <w:i w:val="0"/>
        </w:rPr>
        <w:t>El modelo activo procede del archivo converted_savedmodel (3).zip. Su importación está registrada con fecha 16 de octubre de 2026 y conserva la relación entre grafo, variables y etiquetas. El conjunto de esos archivos ocupa 7.506.349 bytes, aproximadamente 7,16 MiB. Los índices de labels.txt se eliminan al leer los nombres, pero el orden de sus líneas se conserva para interpretar cada posición de la salida.</w:t>
      </w:r>
    </w:p>
    <w:p>
      <w:r>
        <w:rPr>
          <w:i w:val="0"/>
        </w:rPr>
        <w:t>La inspección identifica la firma serving_default, una entrada denominada sequential_9_input y una salida denominada sequential_11. La entrada tiene forma de lote variable, 224 filas, 224 columnas y tres canales, con tipo float32. El modelo se carga mediante tf.saved_model.load, mecanismo previsto para recuperar funciones y variables de un SavedModel (TensorFlow, 2024b). La Tabla 3 describe las cinco categorías en el orden efectivo de salida.</w:t>
      </w:r>
    </w:p>
    <w:p>
      <w:pPr>
        <w:keepNext/>
        <w:ind w:firstLine="0"/>
      </w:pPr>
      <w:r>
        <w:rPr>
          <w:b/>
          <w:i w:val="0"/>
        </w:rPr>
        <w:t>Tabla 3</w:t>
      </w:r>
    </w:p>
    <w:p>
      <w:pPr>
        <w:keepNext/>
        <w:ind w:firstLine="0"/>
      </w:pPr>
      <w:r>
        <w:rPr>
          <w:i/>
        </w:rPr>
        <w:t>Clases del modelo y presentación del resultado</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90" w:type="dxa"/>
          <w:bottom w:w="90" w:type="dxa"/>
          <w:left w:w="80" w:type="dxa"/>
          <w:right w:w="80" w:type="dxa"/>
        </w:tblCellMar>
      </w:tblPr>
      <w:tblGrid>
        <w:gridCol w:w="792"/>
        <w:gridCol w:w="1800"/>
        <w:gridCol w:w="5112"/>
        <w:gridCol w:w="1656"/>
      </w:tblGrid>
      <w:tr>
        <w:trPr>
          <w:cantSplit/>
          <w:tblHeader/>
        </w:trPr>
        <w:tc>
          <w:tcPr>
            <w:tcW w:type="dxa" w:w="792"/>
            <w:vAlign w:val="center"/>
            <w:tcBorders>
              <w:bottom w:val="single" w:sz="6" w:color="000000"/>
            </w:tcBorders>
          </w:tcPr>
          <w:p>
            <w:pPr>
              <w:keepNext/>
              <w:spacing w:line="264" w:lineRule="auto" w:after="0"/>
              <w:ind w:firstLine="0"/>
              <w:jc w:val="center"/>
            </w:pPr>
            <w:r>
              <w:rPr>
                <w:b/>
                <w:sz w:val="22"/>
              </w:rPr>
              <w:t>Índice</w:t>
            </w:r>
          </w:p>
        </w:tc>
        <w:tc>
          <w:tcPr>
            <w:tcW w:type="dxa" w:w="1800"/>
            <w:vAlign w:val="center"/>
            <w:tcBorders>
              <w:bottom w:val="single" w:sz="6" w:color="000000"/>
            </w:tcBorders>
          </w:tcPr>
          <w:p>
            <w:pPr>
              <w:keepNext/>
              <w:spacing w:line="264" w:lineRule="auto" w:after="0"/>
              <w:ind w:firstLine="0"/>
              <w:jc w:val="center"/>
            </w:pPr>
            <w:r>
              <w:rPr>
                <w:b/>
                <w:sz w:val="22"/>
              </w:rPr>
              <w:t>Etiqueta interna</w:t>
            </w:r>
          </w:p>
        </w:tc>
        <w:tc>
          <w:tcPr>
            <w:tcW w:type="dxa" w:w="5112"/>
            <w:vAlign w:val="center"/>
            <w:tcBorders>
              <w:bottom w:val="single" w:sz="6" w:color="000000"/>
            </w:tcBorders>
          </w:tcPr>
          <w:p>
            <w:pPr>
              <w:keepNext/>
              <w:spacing w:line="264" w:lineRule="auto" w:after="0"/>
              <w:ind w:firstLine="0"/>
            </w:pPr>
            <w:r>
              <w:rPr>
                <w:b/>
                <w:sz w:val="22"/>
              </w:rPr>
              <w:t>Nombre visible</w:t>
            </w:r>
          </w:p>
        </w:tc>
        <w:tc>
          <w:tcPr>
            <w:tcW w:type="dxa" w:w="1656"/>
            <w:vAlign w:val="center"/>
            <w:tcBorders>
              <w:bottom w:val="single" w:sz="6" w:color="000000"/>
            </w:tcBorders>
          </w:tcPr>
          <w:p>
            <w:pPr>
              <w:keepNext/>
              <w:spacing w:line="264" w:lineRule="auto" w:after="0"/>
              <w:ind w:firstLine="0"/>
              <w:jc w:val="center"/>
            </w:pPr>
            <w:r>
              <w:rPr>
                <w:b/>
                <w:sz w:val="22"/>
              </w:rPr>
              <w:t>Riesgo visual</w:t>
            </w:r>
          </w:p>
        </w:tc>
      </w:tr>
      <w:tr>
        <w:trPr>
          <w:cantSplit/>
        </w:trPr>
        <w:tc>
          <w:tcPr>
            <w:tcW w:type="dxa" w:w="792"/>
            <w:vAlign w:val="center"/>
          </w:tcPr>
          <w:p>
            <w:pPr>
              <w:keepNext w:val="0"/>
              <w:spacing w:line="264" w:lineRule="auto" w:after="0"/>
              <w:ind w:firstLine="0"/>
              <w:jc w:val="center"/>
            </w:pPr>
            <w:r>
              <w:rPr>
                <w:b w:val="0"/>
                <w:sz w:val="22"/>
              </w:rPr>
              <w:t>0</w:t>
            </w:r>
          </w:p>
        </w:tc>
        <w:tc>
          <w:tcPr>
            <w:tcW w:type="dxa" w:w="1800"/>
            <w:vAlign w:val="center"/>
          </w:tcPr>
          <w:p>
            <w:pPr>
              <w:keepNext w:val="0"/>
              <w:spacing w:line="264" w:lineRule="auto" w:after="0"/>
              <w:ind w:firstLine="0"/>
              <w:jc w:val="center"/>
            </w:pPr>
            <w:r>
              <w:rPr>
                <w:b w:val="0"/>
                <w:sz w:val="22"/>
              </w:rPr>
              <w:t>PielSana</w:t>
            </w:r>
          </w:p>
        </w:tc>
        <w:tc>
          <w:tcPr>
            <w:tcW w:type="dxa" w:w="5112"/>
            <w:vAlign w:val="center"/>
          </w:tcPr>
          <w:p>
            <w:pPr>
              <w:keepNext w:val="0"/>
              <w:spacing w:line="264" w:lineRule="auto" w:after="0"/>
              <w:ind w:firstLine="0"/>
            </w:pPr>
            <w:r>
              <w:rPr>
                <w:b w:val="0"/>
                <w:sz w:val="22"/>
              </w:rPr>
              <w:t>Piel sana</w:t>
            </w:r>
          </w:p>
        </w:tc>
        <w:tc>
          <w:tcPr>
            <w:tcW w:type="dxa" w:w="1656"/>
            <w:vAlign w:val="center"/>
          </w:tcPr>
          <w:p>
            <w:pPr>
              <w:keepNext w:val="0"/>
              <w:spacing w:line="264" w:lineRule="auto" w:after="0"/>
              <w:ind w:firstLine="0"/>
              <w:jc w:val="center"/>
            </w:pPr>
            <w:r>
              <w:rPr>
                <w:b w:val="0"/>
                <w:sz w:val="22"/>
              </w:rPr>
              <w:t>Bajo</w:t>
            </w:r>
          </w:p>
        </w:tc>
      </w:tr>
      <w:tr>
        <w:trPr>
          <w:cantSplit/>
        </w:trPr>
        <w:tc>
          <w:tcPr>
            <w:tcW w:type="dxa" w:w="792"/>
            <w:vAlign w:val="center"/>
          </w:tcPr>
          <w:p>
            <w:pPr>
              <w:keepNext w:val="0"/>
              <w:spacing w:line="264" w:lineRule="auto" w:after="0"/>
              <w:ind w:firstLine="0"/>
              <w:jc w:val="center"/>
            </w:pPr>
            <w:r>
              <w:rPr>
                <w:b w:val="0"/>
                <w:sz w:val="22"/>
              </w:rPr>
              <w:t>1</w:t>
            </w:r>
          </w:p>
        </w:tc>
        <w:tc>
          <w:tcPr>
            <w:tcW w:type="dxa" w:w="1800"/>
            <w:vAlign w:val="center"/>
          </w:tcPr>
          <w:p>
            <w:pPr>
              <w:keepNext w:val="0"/>
              <w:spacing w:line="264" w:lineRule="auto" w:after="0"/>
              <w:ind w:firstLine="0"/>
              <w:jc w:val="center"/>
            </w:pPr>
            <w:r>
              <w:rPr>
                <w:b w:val="0"/>
                <w:sz w:val="22"/>
              </w:rPr>
              <w:t>PielConLSD</w:t>
            </w:r>
          </w:p>
        </w:tc>
        <w:tc>
          <w:tcPr>
            <w:tcW w:type="dxa" w:w="5112"/>
            <w:vAlign w:val="center"/>
          </w:tcPr>
          <w:p>
            <w:pPr>
              <w:keepNext w:val="0"/>
              <w:spacing w:line="264" w:lineRule="auto" w:after="0"/>
              <w:ind w:firstLine="0"/>
            </w:pPr>
            <w:r>
              <w:rPr>
                <w:b w:val="0"/>
                <w:sz w:val="22"/>
              </w:rPr>
              <w:t>Lumpy skin o dermatosis nodular contagiosa</w:t>
            </w:r>
          </w:p>
        </w:tc>
        <w:tc>
          <w:tcPr>
            <w:tcW w:type="dxa" w:w="1656"/>
            <w:vAlign w:val="center"/>
          </w:tcPr>
          <w:p>
            <w:pPr>
              <w:keepNext w:val="0"/>
              <w:spacing w:line="264" w:lineRule="auto" w:after="0"/>
              <w:ind w:firstLine="0"/>
              <w:jc w:val="center"/>
            </w:pPr>
            <w:r>
              <w:rPr>
                <w:b w:val="0"/>
                <w:sz w:val="22"/>
              </w:rPr>
              <w:t>Alto</w:t>
            </w:r>
          </w:p>
        </w:tc>
      </w:tr>
      <w:tr>
        <w:trPr>
          <w:cantSplit/>
        </w:trPr>
        <w:tc>
          <w:tcPr>
            <w:tcW w:type="dxa" w:w="792"/>
            <w:vAlign w:val="center"/>
          </w:tcPr>
          <w:p>
            <w:pPr>
              <w:keepNext w:val="0"/>
              <w:spacing w:line="264" w:lineRule="auto" w:after="0"/>
              <w:ind w:firstLine="0"/>
              <w:jc w:val="center"/>
            </w:pPr>
            <w:r>
              <w:rPr>
                <w:b w:val="0"/>
                <w:sz w:val="22"/>
              </w:rPr>
              <w:t>2</w:t>
            </w:r>
          </w:p>
        </w:tc>
        <w:tc>
          <w:tcPr>
            <w:tcW w:type="dxa" w:w="1800"/>
            <w:vAlign w:val="center"/>
          </w:tcPr>
          <w:p>
            <w:pPr>
              <w:keepNext w:val="0"/>
              <w:spacing w:line="264" w:lineRule="auto" w:after="0"/>
              <w:ind w:firstLine="0"/>
              <w:jc w:val="center"/>
            </w:pPr>
            <w:r>
              <w:rPr>
                <w:b w:val="0"/>
                <w:sz w:val="22"/>
              </w:rPr>
              <w:t>NoValido</w:t>
            </w:r>
          </w:p>
        </w:tc>
        <w:tc>
          <w:tcPr>
            <w:tcW w:type="dxa" w:w="5112"/>
            <w:vAlign w:val="center"/>
          </w:tcPr>
          <w:p>
            <w:pPr>
              <w:keepNext w:val="0"/>
              <w:spacing w:line="264" w:lineRule="auto" w:after="0"/>
              <w:ind w:firstLine="0"/>
            </w:pPr>
            <w:r>
              <w:rPr>
                <w:b w:val="0"/>
                <w:sz w:val="22"/>
              </w:rPr>
              <w:t>Imagen no válida</w:t>
            </w:r>
          </w:p>
        </w:tc>
        <w:tc>
          <w:tcPr>
            <w:tcW w:type="dxa" w:w="1656"/>
            <w:vAlign w:val="center"/>
          </w:tcPr>
          <w:p>
            <w:pPr>
              <w:keepNext w:val="0"/>
              <w:spacing w:line="264" w:lineRule="auto" w:after="0"/>
              <w:ind w:firstLine="0"/>
              <w:jc w:val="center"/>
            </w:pPr>
            <w:r>
              <w:rPr>
                <w:b w:val="0"/>
                <w:sz w:val="22"/>
              </w:rPr>
              <w:t>Rechazo</w:t>
            </w:r>
          </w:p>
        </w:tc>
      </w:tr>
      <w:tr>
        <w:trPr>
          <w:cantSplit/>
        </w:trPr>
        <w:tc>
          <w:tcPr>
            <w:tcW w:type="dxa" w:w="792"/>
            <w:vAlign w:val="center"/>
          </w:tcPr>
          <w:p>
            <w:pPr>
              <w:keepNext w:val="0"/>
              <w:spacing w:line="264" w:lineRule="auto" w:after="0"/>
              <w:ind w:firstLine="0"/>
              <w:jc w:val="center"/>
            </w:pPr>
            <w:r>
              <w:rPr>
                <w:b w:val="0"/>
                <w:sz w:val="22"/>
              </w:rPr>
              <w:t>3</w:t>
            </w:r>
          </w:p>
        </w:tc>
        <w:tc>
          <w:tcPr>
            <w:tcW w:type="dxa" w:w="1800"/>
            <w:vAlign w:val="center"/>
          </w:tcPr>
          <w:p>
            <w:pPr>
              <w:keepNext w:val="0"/>
              <w:spacing w:line="264" w:lineRule="auto" w:after="0"/>
              <w:ind w:firstLine="0"/>
              <w:jc w:val="center"/>
            </w:pPr>
            <w:r>
              <w:rPr>
                <w:b w:val="0"/>
                <w:sz w:val="22"/>
              </w:rPr>
              <w:t>OjoRosado</w:t>
            </w:r>
          </w:p>
        </w:tc>
        <w:tc>
          <w:tcPr>
            <w:tcW w:type="dxa" w:w="5112"/>
            <w:vAlign w:val="center"/>
          </w:tcPr>
          <w:p>
            <w:pPr>
              <w:keepNext w:val="0"/>
              <w:spacing w:line="264" w:lineRule="auto" w:after="0"/>
              <w:ind w:firstLine="0"/>
            </w:pPr>
            <w:r>
              <w:rPr>
                <w:b w:val="0"/>
                <w:sz w:val="22"/>
              </w:rPr>
              <w:t>Queratoconjuntivitis infecciosa bovina</w:t>
            </w:r>
          </w:p>
        </w:tc>
        <w:tc>
          <w:tcPr>
            <w:tcW w:type="dxa" w:w="1656"/>
            <w:vAlign w:val="center"/>
          </w:tcPr>
          <w:p>
            <w:pPr>
              <w:keepNext w:val="0"/>
              <w:spacing w:line="264" w:lineRule="auto" w:after="0"/>
              <w:ind w:firstLine="0"/>
              <w:jc w:val="center"/>
            </w:pPr>
            <w:r>
              <w:rPr>
                <w:b w:val="0"/>
                <w:sz w:val="22"/>
              </w:rPr>
              <w:t>Alto</w:t>
            </w:r>
          </w:p>
        </w:tc>
      </w:tr>
      <w:tr>
        <w:trPr>
          <w:cantSplit/>
        </w:trPr>
        <w:tc>
          <w:tcPr>
            <w:tcW w:type="dxa" w:w="792"/>
            <w:vAlign w:val="center"/>
          </w:tcPr>
          <w:p>
            <w:pPr>
              <w:keepNext/>
              <w:spacing w:line="264" w:lineRule="auto" w:after="0"/>
              <w:ind w:firstLine="0"/>
              <w:jc w:val="center"/>
            </w:pPr>
            <w:r>
              <w:rPr>
                <w:b w:val="0"/>
                <w:sz w:val="22"/>
              </w:rPr>
              <w:t>4</w:t>
            </w:r>
          </w:p>
        </w:tc>
        <w:tc>
          <w:tcPr>
            <w:tcW w:type="dxa" w:w="1800"/>
            <w:vAlign w:val="center"/>
          </w:tcPr>
          <w:p>
            <w:pPr>
              <w:keepNext/>
              <w:spacing w:line="264" w:lineRule="auto" w:after="0"/>
              <w:ind w:firstLine="0"/>
              <w:jc w:val="center"/>
            </w:pPr>
            <w:r>
              <w:rPr>
                <w:b w:val="0"/>
                <w:sz w:val="22"/>
              </w:rPr>
              <w:t>OjoSano</w:t>
            </w:r>
          </w:p>
        </w:tc>
        <w:tc>
          <w:tcPr>
            <w:tcW w:type="dxa" w:w="5112"/>
            <w:vAlign w:val="center"/>
          </w:tcPr>
          <w:p>
            <w:pPr>
              <w:keepNext/>
              <w:spacing w:line="264" w:lineRule="auto" w:after="0"/>
              <w:ind w:firstLine="0"/>
            </w:pPr>
            <w:r>
              <w:rPr>
                <w:b w:val="0"/>
                <w:sz w:val="22"/>
              </w:rPr>
              <w:t>Ojo sano</w:t>
            </w:r>
          </w:p>
        </w:tc>
        <w:tc>
          <w:tcPr>
            <w:tcW w:type="dxa" w:w="1656"/>
            <w:vAlign w:val="center"/>
          </w:tcPr>
          <w:p>
            <w:pPr>
              <w:keepNext/>
              <w:spacing w:line="264" w:lineRule="auto" w:after="0"/>
              <w:ind w:firstLine="0"/>
              <w:jc w:val="center"/>
            </w:pPr>
            <w:r>
              <w:rPr>
                <w:b w:val="0"/>
                <w:sz w:val="22"/>
              </w:rPr>
              <w:t>Bajo</w:t>
            </w:r>
          </w:p>
        </w:tc>
      </w:tr>
    </w:tbl>
    <w:p>
      <w:pPr>
        <w:keepLines/>
        <w:ind w:firstLine="0"/>
      </w:pPr>
      <w:r>
        <w:rPr>
          <w:i/>
        </w:rPr>
        <w:t xml:space="preserve">Nota. </w:t>
      </w:r>
      <w:r>
        <w:t>El orden procede de labels.txt. Los nombres y riesgos proceden de config.json. El riesgo solo se presenta como aceptado cuando se cumplen los controles y las reglas aplicables.</w:t>
      </w:r>
    </w:p>
    <w:p>
      <w:r>
        <w:rPr>
          <w:i w:val="0"/>
        </w:rPr>
        <w:t>No se conservan en la evidencia disponible las épocas, el tamaño de lote, la tasa de aprendizaje, las curvas de pérdida ni la composición definitiva del entrenamiento. Esos valores no deben inferirse a partir de los nombres de los tensores ni del tamaño del archivo. Para reproducir el aprendizaje será necesario registrar las opciones de Teachable Machine y la versión exacta de las imágenes empleadas.</w:t>
      </w:r>
    </w:p>
    <w:p>
      <w:pPr>
        <w:pStyle w:val="Heading1"/>
      </w:pPr>
      <w:r>
        <w:rPr>
          <w:rFonts w:ascii="Times New Roman" w:hAnsi="Times New Roman"/>
          <w:b/>
          <w:sz w:val="24"/>
        </w:rPr>
        <w:t>Diseño e implementación</w:t>
      </w:r>
    </w:p>
    <w:p>
      <w:pPr>
        <w:pStyle w:val="Heading2"/>
      </w:pPr>
      <w:r>
        <w:rPr>
          <w:rFonts w:ascii="Times New Roman" w:hAnsi="Times New Roman"/>
          <w:b/>
          <w:sz w:val="24"/>
        </w:rPr>
        <w:t>Arquitectura modular</w:t>
      </w:r>
    </w:p>
    <w:p>
      <w:r>
        <w:rPr>
          <w:i w:val="0"/>
        </w:rPr>
        <w:t>La aplicación separa la interfaz del procesamiento y de las reglas. app.py gestiona los controles visibles y el estado de sesión. entrada.py limita y decodifica archivos. validacion.py mide condiciones de calidad. clasificador.py prepara imágenes, carga el modelo y produce puntuaciones. decision.py transforma esas puntuaciones en un estado de salida. Los módulos comunes reúnen configuración, lectura de imágenes e identidad del modelo.</w:t>
      </w:r>
    </w:p>
    <w:p>
      <w:r>
        <w:rPr>
          <w:i w:val="0"/>
        </w:rPr>
        <w:t>Esta división evita duplicar el preprocesamiento entre la web, la cámara y la evaluación. También permite probar la política de decisión con vectores controlados sin depender de una fotografía o del entrenamiento. Las clases, textos, colores, umbrales y rutas se definen en config.json. Agregar una clase compatible exige reemplazar el modelo y actualizar la configuración respetando la correspondencia de etiquetas.</w:t>
      </w:r>
    </w:p>
    <w:p>
      <w:r>
        <w:rPr>
          <w:i w:val="0"/>
        </w:rPr>
        <w:t>La Figura 1 representa el recorrido de una fotografía. Los archivos, las imágenes y las puntuaciones pasan por controles distintos; el resultado que aparece en pantalla es consecuencia de toda esa secuencia. La evaluación reutiliza el mismo clasificador para evitar diferencias introducidas por una segunda implementación.</w:t>
      </w:r>
    </w:p>
    <w:p>
      <w:pPr>
        <w:keepNext/>
        <w:ind w:firstLine="0"/>
      </w:pPr>
      <w:r>
        <w:rPr>
          <w:b/>
          <w:i w:val="0"/>
        </w:rPr>
        <w:t>Figura 1</w:t>
      </w:r>
    </w:p>
    <w:p>
      <w:pPr>
        <w:keepNext/>
        <w:ind w:firstLine="0"/>
      </w:pPr>
      <w:r>
        <w:rPr>
          <w:i/>
        </w:rPr>
        <w:t>Flujo de procesamiento de una fotografía</w:t>
      </w:r>
    </w:p>
    <w:p>
      <w:pPr>
        <w:keepNext/>
        <w:ind w:firstLine="0"/>
      </w:pPr>
      <w:r>
        <w:drawing>
          <wp:inline xmlns:a="http://schemas.openxmlformats.org/drawingml/2006/main" xmlns:pic="http://schemas.openxmlformats.org/drawingml/2006/picture">
            <wp:extent cx="5943600" cy="2245360"/>
            <wp:docPr id="1" name="Picture 1" descr="Flujo desde la captura y validación hasta el modelo, la decisión y la presentación. La evaluación reutiliza el mismo clasificador."/>
            <wp:cNvGraphicFramePr>
              <a:graphicFrameLocks noChangeAspect="1"/>
            </wp:cNvGraphicFramePr>
            <a:graphic>
              <a:graphicData uri="http://schemas.openxmlformats.org/drawingml/2006/picture">
                <pic:pic>
                  <pic:nvPicPr>
                    <pic:cNvPr id="0" name="flujo.png"/>
                    <pic:cNvPicPr/>
                  </pic:nvPicPr>
                  <pic:blipFill>
                    <a:blip r:embed="rId10"/>
                    <a:stretch>
                      <a:fillRect/>
                    </a:stretch>
                  </pic:blipFill>
                  <pic:spPr>
                    <a:xfrm>
                      <a:off x="0" y="0"/>
                      <a:ext cx="5943600" cy="2245360"/>
                    </a:xfrm>
                    <a:prstGeom prst="rect"/>
                  </pic:spPr>
                </pic:pic>
              </a:graphicData>
            </a:graphic>
          </wp:inline>
        </w:drawing>
      </w:r>
    </w:p>
    <w:p>
      <w:pPr>
        <w:keepLines/>
        <w:ind w:firstLine="0"/>
      </w:pPr>
      <w:r>
        <w:rPr>
          <w:i/>
        </w:rPr>
        <w:t xml:space="preserve">Nota. </w:t>
      </w:r>
      <w:r>
        <w:t>Elaboración propia a partir de los módulos de la aplicación. Los controles de calidad pueden detener el flujo antes de la inferencia.</w:t>
      </w:r>
    </w:p>
    <w:p>
      <w:pPr>
        <w:pStyle w:val="Heading2"/>
      </w:pPr>
      <w:r>
        <w:rPr>
          <w:rFonts w:ascii="Times New Roman" w:hAnsi="Times New Roman"/>
          <w:b/>
          <w:sz w:val="24"/>
        </w:rPr>
        <w:t>Tecnología y entorno</w:t>
      </w:r>
    </w:p>
    <w:p>
      <w:r>
        <w:rPr>
          <w:i w:val="0"/>
        </w:rPr>
        <w:t>El entorno comprobado utiliza Python 3.12, TensorFlow 2.20.0, Streamlit 1.54.0, NumPy 2.2.6, Pillow 12.3.0, scikit-learn 1.7.2 y Matplotlib 3.10.6. Las versiones directas se fijan en requirements.txt y el entorno completo revisado se registra en requirements-lock.txt. OpenCV se mantiene como dependencia opcional para el modo de cámara continua, separado de la aplicación web principal.</w:t>
      </w:r>
    </w:p>
    <w:p>
      <w:r>
        <w:rPr>
          <w:i w:val="0"/>
        </w:rPr>
        <w:t>La inferencia se ejecuta en el proceso Python que aloja Streamlit. En una instalación local, ese proceso está en la computadora del operador; al publicar, estará en el servidor del alojamiento. Las imágenes se envían desde el navegador a ese servidor para su procesamiento. No se utiliza una API de un proveedor externo de inteligencia artificial para clasificar las fotografías, pero el proyecto sí utiliza inteligencia artificial mediante el modelo TensorFlow.</w:t>
      </w:r>
    </w:p>
    <w:p>
      <w:pPr>
        <w:pStyle w:val="Heading2"/>
      </w:pPr>
      <w:r>
        <w:rPr>
          <w:rFonts w:ascii="Times New Roman" w:hAnsi="Times New Roman"/>
          <w:b/>
          <w:sz w:val="24"/>
        </w:rPr>
        <w:t>Controles de entrada y calidad visual</w:t>
      </w:r>
    </w:p>
    <w:p>
      <w:r>
        <w:rPr>
          <w:i w:val="0"/>
        </w:rPr>
        <w:t>Antes de mostrar o analizar una imagen, la aplicación controla el tamaño del archivo y su decodificación. Solo se admiten JPEG, PNG, WEBP y BMP según el formato detectado por Pillow. Cambiar la extensión de un archivo no permite superar ese control. El máximo de carga es 12 MiB y el límite de resolución total es de 24 millones de píxeles, con tratamiento de las alertas por imágenes desproporcionadas durante la descompresión.</w:t>
      </w:r>
    </w:p>
    <w:p>
      <w:r>
        <w:rPr>
          <w:i w:val="0"/>
        </w:rPr>
        <w:t>El tratamiento de la imagen corrige su orientación EXIF, convierte a RGB y retira metadatos de la representación utilizada para la vista previa. Después se verifica una resolución mínima de 224 × 224, un brillo medio mínimo de 35 y una varianza mínima del laplaciano de 45. La medición de calidad reduce el lado mayor a 512 píxeles para mantener una escala de cálculo acotada. La Tabla 4 reúne los parámetros relevantes.</w:t>
      </w:r>
    </w:p>
    <w:p>
      <w:pPr>
        <w:keepNext/>
        <w:ind w:firstLine="0"/>
      </w:pPr>
      <w:r>
        <w:rPr>
          <w:b/>
          <w:i w:val="0"/>
        </w:rPr>
        <w:t>Tabla 4</w:t>
      </w:r>
    </w:p>
    <w:p>
      <w:pPr>
        <w:keepNext/>
        <w:ind w:firstLine="0"/>
      </w:pPr>
      <w:r>
        <w:rPr>
          <w:i/>
        </w:rPr>
        <w:t>Parámetros vigentes de procesamiento y decisión</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90" w:type="dxa"/>
          <w:bottom w:w="90" w:type="dxa"/>
          <w:left w:w="80" w:type="dxa"/>
          <w:right w:w="80" w:type="dxa"/>
        </w:tblCellMar>
      </w:tblPr>
      <w:tblGrid>
        <w:gridCol w:w="3024"/>
        <w:gridCol w:w="2088"/>
        <w:gridCol w:w="4248"/>
      </w:tblGrid>
      <w:tr>
        <w:trPr>
          <w:cantSplit/>
          <w:tblHeader/>
        </w:trPr>
        <w:tc>
          <w:tcPr>
            <w:tcW w:type="dxa" w:w="3024"/>
            <w:vAlign w:val="center"/>
            <w:tcBorders>
              <w:bottom w:val="single" w:sz="6" w:color="000000"/>
            </w:tcBorders>
          </w:tcPr>
          <w:p>
            <w:pPr>
              <w:keepNext/>
              <w:spacing w:line="264" w:lineRule="auto" w:after="0"/>
              <w:ind w:firstLine="0"/>
            </w:pPr>
            <w:r>
              <w:rPr>
                <w:b/>
                <w:sz w:val="22"/>
              </w:rPr>
              <w:t>Parámetro</w:t>
            </w:r>
          </w:p>
        </w:tc>
        <w:tc>
          <w:tcPr>
            <w:tcW w:type="dxa" w:w="2088"/>
            <w:vAlign w:val="center"/>
            <w:tcBorders>
              <w:bottom w:val="single" w:sz="6" w:color="000000"/>
            </w:tcBorders>
          </w:tcPr>
          <w:p>
            <w:pPr>
              <w:keepNext/>
              <w:spacing w:line="264" w:lineRule="auto" w:after="0"/>
              <w:ind w:firstLine="0"/>
              <w:jc w:val="center"/>
            </w:pPr>
            <w:r>
              <w:rPr>
                <w:b/>
                <w:sz w:val="22"/>
              </w:rPr>
              <w:t>Valor</w:t>
            </w:r>
          </w:p>
        </w:tc>
        <w:tc>
          <w:tcPr>
            <w:tcW w:type="dxa" w:w="4248"/>
            <w:vAlign w:val="center"/>
            <w:tcBorders>
              <w:bottom w:val="single" w:sz="6" w:color="000000"/>
            </w:tcBorders>
          </w:tcPr>
          <w:p>
            <w:pPr>
              <w:keepNext/>
              <w:spacing w:line="264" w:lineRule="auto" w:after="0"/>
              <w:ind w:firstLine="0"/>
            </w:pPr>
            <w:r>
              <w:rPr>
                <w:b/>
                <w:sz w:val="22"/>
              </w:rPr>
              <w:t>Uso</w:t>
            </w:r>
          </w:p>
        </w:tc>
      </w:tr>
      <w:tr>
        <w:trPr>
          <w:cantSplit/>
        </w:trPr>
        <w:tc>
          <w:tcPr>
            <w:tcW w:type="dxa" w:w="3024"/>
            <w:vAlign w:val="center"/>
          </w:tcPr>
          <w:p>
            <w:pPr>
              <w:keepNext w:val="0"/>
              <w:spacing w:line="264" w:lineRule="auto" w:after="0"/>
              <w:ind w:firstLine="0"/>
            </w:pPr>
            <w:r>
              <w:rPr>
                <w:b w:val="0"/>
                <w:sz w:val="22"/>
              </w:rPr>
              <w:t>Entrada al modelo</w:t>
            </w:r>
          </w:p>
        </w:tc>
        <w:tc>
          <w:tcPr>
            <w:tcW w:type="dxa" w:w="2088"/>
            <w:vAlign w:val="center"/>
          </w:tcPr>
          <w:p>
            <w:pPr>
              <w:keepNext w:val="0"/>
              <w:spacing w:line="264" w:lineRule="auto" w:after="0"/>
              <w:ind w:firstLine="0"/>
              <w:jc w:val="center"/>
            </w:pPr>
            <w:r>
              <w:rPr>
                <w:b w:val="0"/>
                <w:sz w:val="22"/>
              </w:rPr>
              <w:t>224 × 224 × 3</w:t>
            </w:r>
          </w:p>
        </w:tc>
        <w:tc>
          <w:tcPr>
            <w:tcW w:type="dxa" w:w="4248"/>
            <w:vAlign w:val="center"/>
          </w:tcPr>
          <w:p>
            <w:pPr>
              <w:keepNext w:val="0"/>
              <w:spacing w:line="264" w:lineRule="auto" w:after="0"/>
              <w:ind w:firstLine="0"/>
            </w:pPr>
            <w:r>
              <w:rPr>
                <w:b w:val="0"/>
                <w:sz w:val="22"/>
              </w:rPr>
              <w:t>Imagen RGB en float32</w:t>
            </w:r>
          </w:p>
        </w:tc>
      </w:tr>
      <w:tr>
        <w:trPr>
          <w:cantSplit/>
        </w:trPr>
        <w:tc>
          <w:tcPr>
            <w:tcW w:type="dxa" w:w="3024"/>
            <w:vAlign w:val="center"/>
          </w:tcPr>
          <w:p>
            <w:pPr>
              <w:keepNext w:val="0"/>
              <w:spacing w:line="264" w:lineRule="auto" w:after="0"/>
              <w:ind w:firstLine="0"/>
            </w:pPr>
            <w:r>
              <w:rPr>
                <w:b w:val="0"/>
                <w:sz w:val="22"/>
              </w:rPr>
              <w:t>Normalización</w:t>
            </w:r>
          </w:p>
        </w:tc>
        <w:tc>
          <w:tcPr>
            <w:tcW w:type="dxa" w:w="2088"/>
            <w:vAlign w:val="center"/>
          </w:tcPr>
          <w:p>
            <w:pPr>
              <w:keepNext w:val="0"/>
              <w:spacing w:line="264" w:lineRule="auto" w:after="0"/>
              <w:ind w:firstLine="0"/>
              <w:jc w:val="center"/>
            </w:pPr>
            <w:r>
              <w:rPr>
                <w:b w:val="0"/>
                <w:sz w:val="22"/>
              </w:rPr>
              <w:t>x / 127,5 − 1</w:t>
            </w:r>
          </w:p>
        </w:tc>
        <w:tc>
          <w:tcPr>
            <w:tcW w:type="dxa" w:w="4248"/>
            <w:vAlign w:val="center"/>
          </w:tcPr>
          <w:p>
            <w:pPr>
              <w:keepNext w:val="0"/>
              <w:spacing w:line="264" w:lineRule="auto" w:after="0"/>
              <w:ind w:firstLine="0"/>
            </w:pPr>
            <w:r>
              <w:rPr>
                <w:b w:val="0"/>
                <w:sz w:val="22"/>
              </w:rPr>
              <w:t>Escala prevista de −1 a 1</w:t>
            </w:r>
          </w:p>
        </w:tc>
      </w:tr>
      <w:tr>
        <w:trPr>
          <w:cantSplit/>
        </w:trPr>
        <w:tc>
          <w:tcPr>
            <w:tcW w:type="dxa" w:w="3024"/>
            <w:vAlign w:val="center"/>
          </w:tcPr>
          <w:p>
            <w:pPr>
              <w:keepNext w:val="0"/>
              <w:spacing w:line="264" w:lineRule="auto" w:after="0"/>
              <w:ind w:firstLine="0"/>
            </w:pPr>
            <w:r>
              <w:rPr>
                <w:b w:val="0"/>
                <w:sz w:val="22"/>
              </w:rPr>
              <w:t>Confianza mínima</w:t>
            </w:r>
          </w:p>
        </w:tc>
        <w:tc>
          <w:tcPr>
            <w:tcW w:type="dxa" w:w="2088"/>
            <w:vAlign w:val="center"/>
          </w:tcPr>
          <w:p>
            <w:pPr>
              <w:keepNext w:val="0"/>
              <w:spacing w:line="264" w:lineRule="auto" w:after="0"/>
              <w:ind w:firstLine="0"/>
              <w:jc w:val="center"/>
            </w:pPr>
            <w:r>
              <w:rPr>
                <w:b w:val="0"/>
                <w:sz w:val="22"/>
              </w:rPr>
              <w:t>0,70</w:t>
            </w:r>
          </w:p>
        </w:tc>
        <w:tc>
          <w:tcPr>
            <w:tcW w:type="dxa" w:w="4248"/>
            <w:vAlign w:val="center"/>
          </w:tcPr>
          <w:p>
            <w:pPr>
              <w:keepNext w:val="0"/>
              <w:spacing w:line="264" w:lineRule="auto" w:after="0"/>
              <w:ind w:firstLine="0"/>
            </w:pPr>
            <w:r>
              <w:rPr>
                <w:b w:val="0"/>
                <w:sz w:val="22"/>
              </w:rPr>
              <w:t>Aceptación de clases válidas</w:t>
            </w:r>
          </w:p>
        </w:tc>
      </w:tr>
      <w:tr>
        <w:trPr>
          <w:cantSplit/>
        </w:trPr>
        <w:tc>
          <w:tcPr>
            <w:tcW w:type="dxa" w:w="3024"/>
            <w:vAlign w:val="center"/>
          </w:tcPr>
          <w:p>
            <w:pPr>
              <w:keepNext w:val="0"/>
              <w:spacing w:line="264" w:lineRule="auto" w:after="0"/>
              <w:ind w:firstLine="0"/>
            </w:pPr>
            <w:r>
              <w:rPr>
                <w:b w:val="0"/>
                <w:sz w:val="22"/>
              </w:rPr>
              <w:t>Margen mínimo</w:t>
            </w:r>
          </w:p>
        </w:tc>
        <w:tc>
          <w:tcPr>
            <w:tcW w:type="dxa" w:w="2088"/>
            <w:vAlign w:val="center"/>
          </w:tcPr>
          <w:p>
            <w:pPr>
              <w:keepNext w:val="0"/>
              <w:spacing w:line="264" w:lineRule="auto" w:after="0"/>
              <w:ind w:firstLine="0"/>
              <w:jc w:val="center"/>
            </w:pPr>
            <w:r>
              <w:rPr>
                <w:b w:val="0"/>
                <w:sz w:val="22"/>
              </w:rPr>
              <w:t>0,15</w:t>
            </w:r>
          </w:p>
        </w:tc>
        <w:tc>
          <w:tcPr>
            <w:tcW w:type="dxa" w:w="4248"/>
            <w:vAlign w:val="center"/>
          </w:tcPr>
          <w:p>
            <w:pPr>
              <w:keepNext w:val="0"/>
              <w:spacing w:line="264" w:lineRule="auto" w:after="0"/>
              <w:ind w:firstLine="0"/>
            </w:pPr>
            <w:r>
              <w:rPr>
                <w:b w:val="0"/>
                <w:sz w:val="22"/>
              </w:rPr>
              <w:t>Diferencia de las dos primeras</w:t>
            </w:r>
          </w:p>
        </w:tc>
      </w:tr>
      <w:tr>
        <w:trPr>
          <w:cantSplit/>
        </w:trPr>
        <w:tc>
          <w:tcPr>
            <w:tcW w:type="dxa" w:w="3024"/>
            <w:vAlign w:val="center"/>
          </w:tcPr>
          <w:p>
            <w:pPr>
              <w:keepNext w:val="0"/>
              <w:spacing w:line="264" w:lineRule="auto" w:after="0"/>
              <w:ind w:firstLine="0"/>
            </w:pPr>
            <w:r>
              <w:rPr>
                <w:b w:val="0"/>
                <w:sz w:val="22"/>
              </w:rPr>
              <w:t>Tamaño de archivo</w:t>
            </w:r>
          </w:p>
        </w:tc>
        <w:tc>
          <w:tcPr>
            <w:tcW w:type="dxa" w:w="2088"/>
            <w:vAlign w:val="center"/>
          </w:tcPr>
          <w:p>
            <w:pPr>
              <w:keepNext w:val="0"/>
              <w:spacing w:line="264" w:lineRule="auto" w:after="0"/>
              <w:ind w:firstLine="0"/>
              <w:jc w:val="center"/>
            </w:pPr>
            <w:r>
              <w:rPr>
                <w:b w:val="0"/>
                <w:sz w:val="22"/>
              </w:rPr>
              <w:t>12 MiB</w:t>
            </w:r>
          </w:p>
        </w:tc>
        <w:tc>
          <w:tcPr>
            <w:tcW w:type="dxa" w:w="4248"/>
            <w:vAlign w:val="center"/>
          </w:tcPr>
          <w:p>
            <w:pPr>
              <w:keepNext w:val="0"/>
              <w:spacing w:line="264" w:lineRule="auto" w:after="0"/>
              <w:ind w:firstLine="0"/>
            </w:pPr>
            <w:r>
              <w:rPr>
                <w:b w:val="0"/>
                <w:sz w:val="22"/>
              </w:rPr>
              <w:t>Límite previo a decodificación</w:t>
            </w:r>
          </w:p>
        </w:tc>
      </w:tr>
      <w:tr>
        <w:trPr>
          <w:cantSplit/>
        </w:trPr>
        <w:tc>
          <w:tcPr>
            <w:tcW w:type="dxa" w:w="3024"/>
            <w:vAlign w:val="center"/>
          </w:tcPr>
          <w:p>
            <w:pPr>
              <w:keepNext w:val="0"/>
              <w:spacing w:line="264" w:lineRule="auto" w:after="0"/>
              <w:ind w:firstLine="0"/>
            </w:pPr>
            <w:r>
              <w:rPr>
                <w:b w:val="0"/>
                <w:sz w:val="22"/>
              </w:rPr>
              <w:t>Píxeles máximos</w:t>
            </w:r>
          </w:p>
        </w:tc>
        <w:tc>
          <w:tcPr>
            <w:tcW w:type="dxa" w:w="2088"/>
            <w:vAlign w:val="center"/>
          </w:tcPr>
          <w:p>
            <w:pPr>
              <w:keepNext w:val="0"/>
              <w:spacing w:line="264" w:lineRule="auto" w:after="0"/>
              <w:ind w:firstLine="0"/>
              <w:jc w:val="center"/>
            </w:pPr>
            <w:r>
              <w:rPr>
                <w:b w:val="0"/>
                <w:sz w:val="22"/>
              </w:rPr>
              <w:t>24.000.000</w:t>
            </w:r>
          </w:p>
        </w:tc>
        <w:tc>
          <w:tcPr>
            <w:tcW w:type="dxa" w:w="4248"/>
            <w:vAlign w:val="center"/>
          </w:tcPr>
          <w:p>
            <w:pPr>
              <w:keepNext w:val="0"/>
              <w:spacing w:line="264" w:lineRule="auto" w:after="0"/>
              <w:ind w:firstLine="0"/>
            </w:pPr>
            <w:r>
              <w:rPr>
                <w:b w:val="0"/>
                <w:sz w:val="22"/>
              </w:rPr>
              <w:t>Límite de resolución total</w:t>
            </w:r>
          </w:p>
        </w:tc>
      </w:tr>
      <w:tr>
        <w:trPr>
          <w:cantSplit/>
        </w:trPr>
        <w:tc>
          <w:tcPr>
            <w:tcW w:type="dxa" w:w="3024"/>
            <w:vAlign w:val="center"/>
          </w:tcPr>
          <w:p>
            <w:pPr>
              <w:keepNext w:val="0"/>
              <w:spacing w:line="264" w:lineRule="auto" w:after="0"/>
              <w:ind w:firstLine="0"/>
            </w:pPr>
            <w:r>
              <w:rPr>
                <w:b w:val="0"/>
                <w:sz w:val="22"/>
              </w:rPr>
              <w:t>Resolución mínima</w:t>
            </w:r>
          </w:p>
        </w:tc>
        <w:tc>
          <w:tcPr>
            <w:tcW w:type="dxa" w:w="2088"/>
            <w:vAlign w:val="center"/>
          </w:tcPr>
          <w:p>
            <w:pPr>
              <w:keepNext w:val="0"/>
              <w:spacing w:line="264" w:lineRule="auto" w:after="0"/>
              <w:ind w:firstLine="0"/>
              <w:jc w:val="center"/>
            </w:pPr>
            <w:r>
              <w:rPr>
                <w:b w:val="0"/>
                <w:sz w:val="22"/>
              </w:rPr>
              <w:t>224 × 224</w:t>
            </w:r>
          </w:p>
        </w:tc>
        <w:tc>
          <w:tcPr>
            <w:tcW w:type="dxa" w:w="4248"/>
            <w:vAlign w:val="center"/>
          </w:tcPr>
          <w:p>
            <w:pPr>
              <w:keepNext w:val="0"/>
              <w:spacing w:line="264" w:lineRule="auto" w:after="0"/>
              <w:ind w:firstLine="0"/>
            </w:pPr>
            <w:r>
              <w:rPr>
                <w:b w:val="0"/>
                <w:sz w:val="22"/>
              </w:rPr>
              <w:t>Revisión de imagen de entrada</w:t>
            </w:r>
          </w:p>
        </w:tc>
      </w:tr>
      <w:tr>
        <w:trPr>
          <w:cantSplit/>
        </w:trPr>
        <w:tc>
          <w:tcPr>
            <w:tcW w:type="dxa" w:w="3024"/>
            <w:vAlign w:val="center"/>
          </w:tcPr>
          <w:p>
            <w:pPr>
              <w:keepNext w:val="0"/>
              <w:spacing w:line="264" w:lineRule="auto" w:after="0"/>
              <w:ind w:firstLine="0"/>
            </w:pPr>
            <w:r>
              <w:rPr>
                <w:b w:val="0"/>
                <w:sz w:val="22"/>
              </w:rPr>
              <w:t>Brillo medio mínimo</w:t>
            </w:r>
          </w:p>
        </w:tc>
        <w:tc>
          <w:tcPr>
            <w:tcW w:type="dxa" w:w="2088"/>
            <w:vAlign w:val="center"/>
          </w:tcPr>
          <w:p>
            <w:pPr>
              <w:keepNext w:val="0"/>
              <w:spacing w:line="264" w:lineRule="auto" w:after="0"/>
              <w:ind w:firstLine="0"/>
              <w:jc w:val="center"/>
            </w:pPr>
            <w:r>
              <w:rPr>
                <w:b w:val="0"/>
                <w:sz w:val="22"/>
              </w:rPr>
              <w:t>35</w:t>
            </w:r>
          </w:p>
        </w:tc>
        <w:tc>
          <w:tcPr>
            <w:tcW w:type="dxa" w:w="4248"/>
            <w:vAlign w:val="center"/>
          </w:tcPr>
          <w:p>
            <w:pPr>
              <w:keepNext w:val="0"/>
              <w:spacing w:line="264" w:lineRule="auto" w:after="0"/>
              <w:ind w:firstLine="0"/>
            </w:pPr>
            <w:r>
              <w:rPr>
                <w:b w:val="0"/>
                <w:sz w:val="22"/>
              </w:rPr>
              <w:t>Escala de gris de 0 a 255</w:t>
            </w:r>
          </w:p>
        </w:tc>
      </w:tr>
      <w:tr>
        <w:trPr>
          <w:cantSplit/>
        </w:trPr>
        <w:tc>
          <w:tcPr>
            <w:tcW w:type="dxa" w:w="3024"/>
            <w:vAlign w:val="center"/>
          </w:tcPr>
          <w:p>
            <w:pPr>
              <w:keepNext w:val="0"/>
              <w:spacing w:line="264" w:lineRule="auto" w:after="0"/>
              <w:ind w:firstLine="0"/>
            </w:pPr>
            <w:r>
              <w:rPr>
                <w:b w:val="0"/>
                <w:sz w:val="22"/>
              </w:rPr>
              <w:t>Varianza del laplaciano</w:t>
            </w:r>
          </w:p>
        </w:tc>
        <w:tc>
          <w:tcPr>
            <w:tcW w:type="dxa" w:w="2088"/>
            <w:vAlign w:val="center"/>
          </w:tcPr>
          <w:p>
            <w:pPr>
              <w:keepNext w:val="0"/>
              <w:spacing w:line="264" w:lineRule="auto" w:after="0"/>
              <w:ind w:firstLine="0"/>
              <w:jc w:val="center"/>
            </w:pPr>
            <w:r>
              <w:rPr>
                <w:b w:val="0"/>
                <w:sz w:val="22"/>
              </w:rPr>
              <w:t>45</w:t>
            </w:r>
          </w:p>
        </w:tc>
        <w:tc>
          <w:tcPr>
            <w:tcW w:type="dxa" w:w="4248"/>
            <w:vAlign w:val="center"/>
          </w:tcPr>
          <w:p>
            <w:pPr>
              <w:keepNext w:val="0"/>
              <w:spacing w:line="264" w:lineRule="auto" w:after="0"/>
              <w:ind w:firstLine="0"/>
            </w:pPr>
            <w:r>
              <w:rPr>
                <w:b w:val="0"/>
                <w:sz w:val="22"/>
              </w:rPr>
              <w:t>Umbral heurístico de textura</w:t>
            </w:r>
          </w:p>
        </w:tc>
      </w:tr>
      <w:tr>
        <w:trPr>
          <w:cantSplit/>
        </w:trPr>
        <w:tc>
          <w:tcPr>
            <w:tcW w:type="dxa" w:w="3024"/>
            <w:vAlign w:val="center"/>
          </w:tcPr>
          <w:p>
            <w:pPr>
              <w:keepNext w:val="0"/>
              <w:spacing w:line="264" w:lineRule="auto" w:after="0"/>
              <w:ind w:firstLine="0"/>
            </w:pPr>
            <w:r>
              <w:rPr>
                <w:b w:val="0"/>
                <w:sz w:val="22"/>
              </w:rPr>
              <w:t>Lado de medición</w:t>
            </w:r>
          </w:p>
        </w:tc>
        <w:tc>
          <w:tcPr>
            <w:tcW w:type="dxa" w:w="2088"/>
            <w:vAlign w:val="center"/>
          </w:tcPr>
          <w:p>
            <w:pPr>
              <w:keepNext w:val="0"/>
              <w:spacing w:line="264" w:lineRule="auto" w:after="0"/>
              <w:ind w:firstLine="0"/>
              <w:jc w:val="center"/>
            </w:pPr>
            <w:r>
              <w:rPr>
                <w:b w:val="0"/>
                <w:sz w:val="22"/>
              </w:rPr>
              <w:t>Hasta 512 px</w:t>
            </w:r>
          </w:p>
        </w:tc>
        <w:tc>
          <w:tcPr>
            <w:tcW w:type="dxa" w:w="4248"/>
            <w:vAlign w:val="center"/>
          </w:tcPr>
          <w:p>
            <w:pPr>
              <w:keepNext w:val="0"/>
              <w:spacing w:line="264" w:lineRule="auto" w:after="0"/>
              <w:ind w:firstLine="0"/>
            </w:pPr>
            <w:r>
              <w:rPr>
                <w:b w:val="0"/>
                <w:sz w:val="22"/>
              </w:rPr>
              <w:t>Escala de análisis de calidad</w:t>
            </w:r>
          </w:p>
        </w:tc>
      </w:tr>
      <w:tr>
        <w:trPr>
          <w:cantSplit/>
        </w:trPr>
        <w:tc>
          <w:tcPr>
            <w:tcW w:type="dxa" w:w="3024"/>
            <w:vAlign w:val="center"/>
          </w:tcPr>
          <w:p>
            <w:pPr>
              <w:keepNext w:val="0"/>
              <w:spacing w:line="264" w:lineRule="auto" w:after="0"/>
              <w:ind w:firstLine="0"/>
            </w:pPr>
            <w:r>
              <w:rPr>
                <w:b w:val="0"/>
                <w:sz w:val="22"/>
              </w:rPr>
              <w:t>Prueba por clase</w:t>
            </w:r>
          </w:p>
        </w:tc>
        <w:tc>
          <w:tcPr>
            <w:tcW w:type="dxa" w:w="2088"/>
            <w:vAlign w:val="center"/>
          </w:tcPr>
          <w:p>
            <w:pPr>
              <w:keepNext w:val="0"/>
              <w:spacing w:line="264" w:lineRule="auto" w:after="0"/>
              <w:ind w:firstLine="0"/>
              <w:jc w:val="center"/>
            </w:pPr>
            <w:r>
              <w:rPr>
                <w:b w:val="0"/>
                <w:sz w:val="22"/>
              </w:rPr>
              <w:t>30</w:t>
            </w:r>
          </w:p>
        </w:tc>
        <w:tc>
          <w:tcPr>
            <w:tcW w:type="dxa" w:w="4248"/>
            <w:vAlign w:val="center"/>
          </w:tcPr>
          <w:p>
            <w:pPr>
              <w:keepNext w:val="0"/>
              <w:spacing w:line="264" w:lineRule="auto" w:after="0"/>
              <w:ind w:firstLine="0"/>
            </w:pPr>
            <w:r>
              <w:rPr>
                <w:b w:val="0"/>
                <w:sz w:val="22"/>
              </w:rPr>
              <w:t>Reserva prevista de imágenes</w:t>
            </w:r>
          </w:p>
        </w:tc>
      </w:tr>
      <w:tr>
        <w:trPr>
          <w:cantSplit/>
        </w:trPr>
        <w:tc>
          <w:tcPr>
            <w:tcW w:type="dxa" w:w="3024"/>
            <w:vAlign w:val="center"/>
          </w:tcPr>
          <w:p>
            <w:pPr>
              <w:keepNext/>
              <w:spacing w:line="264" w:lineRule="auto" w:after="0"/>
              <w:ind w:firstLine="0"/>
            </w:pPr>
            <w:r>
              <w:rPr>
                <w:b w:val="0"/>
                <w:sz w:val="22"/>
              </w:rPr>
              <w:t>Semilla de división</w:t>
            </w:r>
          </w:p>
        </w:tc>
        <w:tc>
          <w:tcPr>
            <w:tcW w:type="dxa" w:w="2088"/>
            <w:vAlign w:val="center"/>
          </w:tcPr>
          <w:p>
            <w:pPr>
              <w:keepNext/>
              <w:spacing w:line="264" w:lineRule="auto" w:after="0"/>
              <w:ind w:firstLine="0"/>
              <w:jc w:val="center"/>
            </w:pPr>
            <w:r>
              <w:rPr>
                <w:b w:val="0"/>
                <w:sz w:val="22"/>
              </w:rPr>
              <w:t>42</w:t>
            </w:r>
          </w:p>
        </w:tc>
        <w:tc>
          <w:tcPr>
            <w:tcW w:type="dxa" w:w="4248"/>
            <w:vAlign w:val="center"/>
          </w:tcPr>
          <w:p>
            <w:pPr>
              <w:keepNext/>
              <w:spacing w:line="264" w:lineRule="auto" w:after="0"/>
              <w:ind w:firstLine="0"/>
            </w:pPr>
            <w:r>
              <w:rPr>
                <w:b w:val="0"/>
                <w:sz w:val="22"/>
              </w:rPr>
              <w:t>Reproducibilidad de selección</w:t>
            </w:r>
          </w:p>
        </w:tc>
      </w:tr>
    </w:tbl>
    <w:p>
      <w:pPr>
        <w:keepLines/>
        <w:ind w:firstLine="0"/>
      </w:pPr>
      <w:r>
        <w:rPr>
          <w:i/>
        </w:rPr>
        <w:t xml:space="preserve">Nota. </w:t>
      </w:r>
      <w:r>
        <w:t>Valores de config.json. Los umbrales son configuraciones del prototipo y no parámetros optimizados mediante una validación clínica.</w:t>
      </w:r>
    </w:p>
    <w:p>
      <w:r>
        <w:rPr>
          <w:i w:val="0"/>
        </w:rPr>
        <w:t>Los límites de brillo y textura son heurísticos. No certifican que haya un bovino en la imagen ni que el ojo o la piel estén completos. Una superficie ocular lisa puede presentar poca textura aun cuando la imagen sea útil, mientras que un fondo muy detallado puede superar el filtro sin mostrar la región de interés. La calibración posterior debe medir cuántas fotografías válidas rechazan estos controles y cuántas inadecuadas dejan pasar.</w:t>
      </w:r>
    </w:p>
    <w:p>
      <w:pPr>
        <w:pStyle w:val="Heading2"/>
      </w:pPr>
      <w:r>
        <w:rPr>
          <w:rFonts w:ascii="Times New Roman" w:hAnsi="Times New Roman"/>
          <w:b/>
          <w:sz w:val="24"/>
        </w:rPr>
        <w:t>Política de decisión y semáforo</w:t>
      </w:r>
    </w:p>
    <w:p>
      <w:r>
        <w:rPr>
          <w:i w:val="0"/>
        </w:rPr>
        <w:t>Una vez obtenidas las cinco puntuaciones, el sistema identifica las dos mayores. Si la clase ganadora es NoValido, solicita una nueva imagen, incluso cuando su puntuación no alcanza el umbral de aceptación. Para las demás clases, exige una puntuación de al menos 0,70 y una diferencia entre las dos primeras de al menos 0,15. Si no se cumplen las condiciones, muestra un estado de incertidumbre.</w:t>
      </w:r>
    </w:p>
    <w:p>
      <w:r>
        <w:rPr>
          <w:i w:val="0"/>
        </w:rPr>
        <w:t>Cuando el resultado es aceptado, PielSana y OjoSano se presentan con riesgo visual bajo; PielConLSD y OjoRosado, con riesgo visual alto. La denominación visible de OjoRosado es Queratoconjuntivitis infecciosa bovina. La etiqueta interna se conserva para mantener compatibilidad con el modelo. El semáforo combina color, texto e icono, por lo que el significado no depende exclusivamente de distinguir verde, amarillo y rojo.</w:t>
      </w:r>
    </w:p>
    <w:p>
      <w:r>
        <w:rPr>
          <w:i w:val="0"/>
        </w:rPr>
        <w:t>Con puntuaciones no negativas que suman uno, el umbral actual de 0,70 implica que la segunda puntuación no puede exceder 0,30. Por tanto, el margen será al menos 0,40 cuando se alcance ese umbral. En la configuración actual, el criterio de margen de 0,15 no añade una restricción efectiva a la confianza mínima. Mantenerlo como parámetro permite estudiar otras configuraciones, pero no corresponde atribuirle una mejora independiente sin realizar esa comparación.</w:t>
      </w:r>
    </w:p>
    <w:p>
      <w:pPr>
        <w:pStyle w:val="Heading2"/>
      </w:pPr>
      <w:r>
        <w:rPr>
          <w:rFonts w:ascii="Times New Roman" w:hAnsi="Times New Roman"/>
          <w:b/>
          <w:sz w:val="24"/>
        </w:rPr>
        <w:t>Interfaz y experiencia de uso</w:t>
      </w:r>
    </w:p>
    <w:p>
      <w:r>
        <w:rPr>
          <w:i w:val="0"/>
        </w:rPr>
        <w:t>La pestaña Analizar imagen permite subir una fotografía o tomarla con la cámara del navegador. Presenta la imagen junto con el resultado, la recomendación y las puntuaciones por clase. El usuario puede consultar la explicación de la decisión y la información general de la categoría correspondiente. Los mensajes indican cuándo debe repetirse la captura por problemas de calidad o por incertidumbre.</w:t>
      </w:r>
    </w:p>
    <w:p>
      <w:r>
        <w:rPr>
          <w:i w:val="0"/>
        </w:rPr>
        <w:t>La pestaña Modelo y evaluación presenta las clases reconocidas, el tamaño del modelo, la preparación de la imagen y las reglas utilizadas. Los detalles de firma, el formato técnico del archivo y los antiguos paneles de defensa se retiraron de la vista principal. Las herramientas de evaluación permanecen disponibles como scripts; no se presentan métricas inexistentes en la interfaz. El historial de resultados se limita a 100 registros por sesión y dispone de una opción para borrarlo.</w:t>
      </w:r>
    </w:p>
    <w:p>
      <w:r>
        <w:rPr>
          <w:i w:val="0"/>
        </w:rPr>
        <w:t>La carga del modelo utiliza la caché de recursos de Streamlit para evitar reconstruirlo con cada interacción. Una cerradura serializa la inferencia sobre el recurso compartido. La revisión de los archivos y la configuración participa en la invalidación de caché; al reemplazar el modelo también se limpia el resultado y el historial de la sesión. Esto reduce el riesgo de mostrar resultados anteriores como si correspondieran a una nueva versión.</w:t>
      </w:r>
    </w:p>
    <w:p>
      <w:pPr>
        <w:pStyle w:val="Heading2"/>
      </w:pPr>
      <w:r>
        <w:rPr>
          <w:rFonts w:ascii="Times New Roman" w:hAnsi="Times New Roman"/>
          <w:b/>
          <w:sz w:val="24"/>
        </w:rPr>
        <w:t>Cámara continua y anexo didáctico</w:t>
      </w:r>
    </w:p>
    <w:p>
      <w:r>
        <w:rPr>
          <w:i w:val="0"/>
        </w:rPr>
        <w:t>El módulo opcional de OpenCV utiliza una cámara conectada al equipo que ejecuta Python. Limita el análisis a dos fotogramas por segundo, reúne una ventana de ocho observaciones y requiere seis votos para confirmar una clase de alerta. Aplica una espera de 30 segundos entre alertas y guarda una captura y sus metadatos. La velocidad real puede ser menor si el procesamiento no alcanza el intervalo previsto.</w:t>
      </w:r>
    </w:p>
    <w:p>
      <w:r>
        <w:rPr>
          <w:i w:val="0"/>
        </w:rPr>
        <w:t>Este mecanismo es distinto de tomar una fotografía con la cámara del navegador. Las reglas de votación y espera tienen pruebas automatizadas, pero no se documentó una prueba física integral con una cámara. Además, el anexo forward_propagation.py muestra una red pequeña de dos entradas, tres unidades ocultas y una salida con función sigmoide. Su propósito es didáctico; no representa la arquitectura completa del clasificador ni entrena el modelo utilizado por la aplicación.</w:t>
      </w:r>
    </w:p>
    <w:p>
      <w:pPr>
        <w:pStyle w:val="Heading1"/>
      </w:pPr>
      <w:r>
        <w:rPr>
          <w:rFonts w:ascii="Times New Roman" w:hAnsi="Times New Roman"/>
          <w:b/>
          <w:sz w:val="24"/>
        </w:rPr>
        <w:t>Protocolo de evaluación predictiva</w:t>
      </w:r>
    </w:p>
    <w:p>
      <w:pPr>
        <w:pStyle w:val="Heading2"/>
      </w:pPr>
      <w:r>
        <w:rPr>
          <w:rFonts w:ascii="Times New Roman" w:hAnsi="Times New Roman"/>
          <w:b/>
          <w:sz w:val="24"/>
        </w:rPr>
        <w:t>Verificación previa</w:t>
      </w:r>
    </w:p>
    <w:p>
      <w:r>
        <w:rPr>
          <w:i w:val="0"/>
        </w:rPr>
        <w:t>El evaluador exige una división con manifiesto y comprueba archivos faltantes, agregados o modificados. Verifica la correspondencia entre carpetas y clases y busca coincidencias de píxeles entre entrenamiento y prueba. La ejecución utiliza el mismo preprocesamiento del clasificador. La identidad del modelo incorpora grafo, pesos y etiquetas para no reutilizar una evaluación de otra versión.</w:t>
      </w:r>
    </w:p>
    <w:p>
      <w:r>
        <w:rPr>
          <w:i w:val="0"/>
        </w:rPr>
        <w:t>También debe documentarse la independencia de la prueba. La opción prueba_independiente_confirmada permanece en false y funciona como registro de una comprobación humana; el código no puede reconstruir todas las imágenes vistas durante el entrenamiento. La opción de confirmación del preprocesamiento también permanece en false. Ambas condiciones deben resolverse con evidencia antes de presentar las métricas como evaluación definitiva.</w:t>
      </w:r>
    </w:p>
    <w:p>
      <w:pPr>
        <w:pStyle w:val="Heading2"/>
      </w:pPr>
      <w:r>
        <w:rPr>
          <w:rFonts w:ascii="Times New Roman" w:hAnsi="Times New Roman"/>
          <w:b/>
          <w:sz w:val="24"/>
        </w:rPr>
        <w:t>Métricas y artefactos</w:t>
      </w:r>
    </w:p>
    <w:p>
      <w:r>
        <w:rPr>
          <w:i w:val="0"/>
        </w:rPr>
        <w:t>La exactitud global se calcula como número de predicciones correctas dividido entre el número total de imágenes. Para cada clase, la precisión se calcula como verdaderos positivos divididos entre verdaderos positivos más falsos positivos. La sensibilidad utiliza verdaderos positivos más falsos negativos en el denominador. F1 se obtiene como dos veces el producto de precisión y sensibilidad dividido entre su suma, cuando esta es distinta de cero.</w:t>
      </w:r>
    </w:p>
    <w:p>
      <w:r>
        <w:rPr>
          <w:i w:val="0"/>
        </w:rPr>
        <w:t>La matriz de confusión registra en sus filas las clases reales y en sus columnas las predichas. La diagonal muestra los aciertos; las demás celdas permiten estudiar confusiones concretas. El promedio macro concede el mismo peso a cada clase y complementa la exactitud global cuando los soportes son distintos. Si una clase no recibe predicciones, el evaluador utiliza zero_division=0 y conserva el soporte para facilitar la interpretación.</w:t>
      </w:r>
    </w:p>
    <w:p>
      <w:r>
        <w:rPr>
          <w:i w:val="0"/>
        </w:rPr>
        <w:t>El programa calcula métricas del clasificador sobre todas las imágenes y, por separado, métricas de la política de aceptación. La cobertura es la fracción que supera los controles y recibe un resultado aceptado. La exactitud condicionada corresponde únicamente a ese subconjunto y se deja sin valor cuando no hay casos aceptados. Una mejora de exactitud condicionada puede provenir de rechazar más imágenes, por lo que debe examinarse junto con la cobertura.</w:t>
      </w:r>
    </w:p>
    <w:p>
      <w:r>
        <w:rPr>
          <w:i w:val="0"/>
        </w:rPr>
        <w:t>Cada ejecución genera archivos JSON con métricas, gráficos de matrices de confusión, archivos CSV de predicciones y un resumen con configuración y huellas de integridad. La comparación entre entrenamiento y prueba señala una brecha superior a 0,10; también advierte cuando ambas exactitudes son inferiores a 0,70. Estos límites sirven como señales de revisión y no prueban por sí mismos sobreajuste o subajuste.</w:t>
      </w:r>
    </w:p>
    <w:p>
      <w:pPr>
        <w:pStyle w:val="Heading2"/>
      </w:pPr>
      <w:r>
        <w:rPr>
          <w:rFonts w:ascii="Times New Roman" w:hAnsi="Times New Roman"/>
          <w:b/>
          <w:sz w:val="24"/>
        </w:rPr>
        <w:t>Diseño del estudio pendiente</w:t>
      </w:r>
    </w:p>
    <w:p>
      <w:r>
        <w:rPr>
          <w:i w:val="0"/>
        </w:rPr>
        <w:t>El estudio debe comenzar con la identificación de las fuentes y la revisión de etiquetas. Después se preparará una partición independiente, con representación de las cinco clases y control de duplicados. La selección de umbrales y filtros se realizará con validación, reservando la prueba para una evaluación final. Si se modifica el modelo tras conocer los errores de prueba, se deberá reconocer esa nueva iteración y disponer de otra prueba independiente para una estimación final imparcial.</w:t>
      </w:r>
    </w:p>
    <w:p>
      <w:r>
        <w:rPr>
          <w:i w:val="0"/>
        </w:rPr>
        <w:t>La presentación de resultados debe incluir soporte por clase, matriz de confusión, precisión, sensibilidad, F1, exactitud y cobertura. Los errores de las clases de enfermedad merecen análisis individual porque una omisión y una falsa alerta tienen consecuencias diferentes. Un conjunto de 30 imágenes por clase aporta información limitada: un solo error cambia la sensibilidad de esa clase en aproximadamente 3,33 puntos porcentuales. Una futura versión debe ampliar la prueba y estimar la incertidumbre de las métricas.</w:t>
      </w:r>
    </w:p>
    <w:p>
      <w:pPr>
        <w:pStyle w:val="Heading1"/>
      </w:pPr>
      <w:r>
        <w:rPr>
          <w:rFonts w:ascii="Times New Roman" w:hAnsi="Times New Roman"/>
          <w:b/>
          <w:sz w:val="24"/>
        </w:rPr>
        <w:t>Resultados comprobados</w:t>
      </w:r>
    </w:p>
    <w:p>
      <w:pPr>
        <w:pStyle w:val="Heading2"/>
      </w:pPr>
      <w:r>
        <w:rPr>
          <w:rFonts w:ascii="Times New Roman" w:hAnsi="Times New Roman"/>
          <w:b/>
          <w:sz w:val="24"/>
        </w:rPr>
        <w:t>Integración y pruebas del software</w:t>
      </w:r>
    </w:p>
    <w:p>
      <w:r>
        <w:rPr>
          <w:i w:val="0"/>
        </w:rPr>
        <w:t>La ejecución de unittest del 16 de octubre de 2026 completó 28 pruebas satisfactorias. La batería incluye carga y predicción con el SavedModel real, flujo de imagen a resultado, correspondencia de clases oculares, reglas de incertidumbre y rechazo, límites de archivos, eliminación de metadatos, integridad de particiones y exportación de métricas. La Tabla 5 separa los resultados observados de los aspectos pendientes.</w:t>
      </w:r>
    </w:p>
    <w:p>
      <w:pPr>
        <w:keepNext/>
        <w:ind w:firstLine="0"/>
      </w:pPr>
      <w:r>
        <w:rPr>
          <w:b/>
          <w:i w:val="0"/>
        </w:rPr>
        <w:t>Tabla 5</w:t>
      </w:r>
    </w:p>
    <w:p>
      <w:pPr>
        <w:keepNext/>
        <w:ind w:firstLine="0"/>
      </w:pPr>
      <w:r>
        <w:rPr>
          <w:i/>
        </w:rPr>
        <w:t>Estado de las comprobaciones técnicas y experimentales</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90" w:type="dxa"/>
          <w:bottom w:w="90" w:type="dxa"/>
          <w:left w:w="80" w:type="dxa"/>
          <w:right w:w="80" w:type="dxa"/>
        </w:tblCellMar>
      </w:tblPr>
      <w:tblGrid>
        <w:gridCol w:w="2304"/>
        <w:gridCol w:w="5184"/>
        <w:gridCol w:w="1872"/>
      </w:tblGrid>
      <w:tr>
        <w:trPr>
          <w:cantSplit/>
          <w:tblHeader/>
        </w:trPr>
        <w:tc>
          <w:tcPr>
            <w:tcW w:type="dxa" w:w="2304"/>
            <w:vAlign w:val="center"/>
            <w:tcBorders>
              <w:bottom w:val="single" w:sz="6" w:color="000000"/>
            </w:tcBorders>
          </w:tcPr>
          <w:p>
            <w:pPr>
              <w:keepNext/>
              <w:spacing w:line="264" w:lineRule="auto" w:after="0"/>
              <w:ind w:firstLine="0"/>
            </w:pPr>
            <w:r>
              <w:rPr>
                <w:b/>
                <w:sz w:val="22"/>
              </w:rPr>
              <w:t>Aspecto</w:t>
            </w:r>
          </w:p>
        </w:tc>
        <w:tc>
          <w:tcPr>
            <w:tcW w:type="dxa" w:w="5184"/>
            <w:vAlign w:val="center"/>
            <w:tcBorders>
              <w:bottom w:val="single" w:sz="6" w:color="000000"/>
            </w:tcBorders>
          </w:tcPr>
          <w:p>
            <w:pPr>
              <w:keepNext/>
              <w:spacing w:line="264" w:lineRule="auto" w:after="0"/>
              <w:ind w:firstLine="0"/>
            </w:pPr>
            <w:r>
              <w:rPr>
                <w:b/>
                <w:sz w:val="22"/>
              </w:rPr>
              <w:t>Evidencia disponible</w:t>
            </w:r>
          </w:p>
        </w:tc>
        <w:tc>
          <w:tcPr>
            <w:tcW w:type="dxa" w:w="1872"/>
            <w:vAlign w:val="center"/>
            <w:tcBorders>
              <w:bottom w:val="single" w:sz="6" w:color="000000"/>
            </w:tcBorders>
          </w:tcPr>
          <w:p>
            <w:pPr>
              <w:keepNext/>
              <w:spacing w:line="264" w:lineRule="auto" w:after="0"/>
              <w:ind w:firstLine="0"/>
              <w:jc w:val="center"/>
            </w:pPr>
            <w:r>
              <w:rPr>
                <w:b/>
                <w:sz w:val="22"/>
              </w:rPr>
              <w:t>Estado</w:t>
            </w:r>
          </w:p>
        </w:tc>
      </w:tr>
      <w:tr>
        <w:trPr>
          <w:cantSplit/>
        </w:trPr>
        <w:tc>
          <w:tcPr>
            <w:tcW w:type="dxa" w:w="2304"/>
            <w:vAlign w:val="center"/>
          </w:tcPr>
          <w:p>
            <w:pPr>
              <w:keepNext w:val="0"/>
              <w:spacing w:line="264" w:lineRule="auto" w:after="0"/>
              <w:ind w:firstLine="0"/>
            </w:pPr>
            <w:r>
              <w:rPr>
                <w:b w:val="0"/>
                <w:sz w:val="22"/>
              </w:rPr>
              <w:t>Compatibilidad del modelo</w:t>
            </w:r>
          </w:p>
        </w:tc>
        <w:tc>
          <w:tcPr>
            <w:tcW w:type="dxa" w:w="5184"/>
            <w:vAlign w:val="center"/>
          </w:tcPr>
          <w:p>
            <w:pPr>
              <w:keepNext w:val="0"/>
              <w:spacing w:line="264" w:lineRule="auto" w:after="0"/>
              <w:ind w:firstLine="0"/>
            </w:pPr>
            <w:r>
              <w:rPr>
                <w:b w:val="0"/>
                <w:sz w:val="22"/>
              </w:rPr>
              <w:t>Carga e inferencia real con cinco salidas</w:t>
            </w:r>
          </w:p>
        </w:tc>
        <w:tc>
          <w:tcPr>
            <w:tcW w:type="dxa" w:w="1872"/>
            <w:vAlign w:val="center"/>
          </w:tcPr>
          <w:p>
            <w:pPr>
              <w:keepNext w:val="0"/>
              <w:spacing w:line="264" w:lineRule="auto" w:after="0"/>
              <w:ind w:firstLine="0"/>
              <w:jc w:val="center"/>
            </w:pPr>
            <w:r>
              <w:rPr>
                <w:b w:val="0"/>
                <w:sz w:val="22"/>
              </w:rPr>
              <w:t>Comprobada</w:t>
            </w:r>
          </w:p>
        </w:tc>
      </w:tr>
      <w:tr>
        <w:trPr>
          <w:cantSplit/>
        </w:trPr>
        <w:tc>
          <w:tcPr>
            <w:tcW w:type="dxa" w:w="2304"/>
            <w:vAlign w:val="center"/>
          </w:tcPr>
          <w:p>
            <w:pPr>
              <w:keepNext w:val="0"/>
              <w:spacing w:line="264" w:lineRule="auto" w:after="0"/>
              <w:ind w:firstLine="0"/>
            </w:pPr>
            <w:r>
              <w:rPr>
                <w:b w:val="0"/>
                <w:sz w:val="22"/>
              </w:rPr>
              <w:t>Pruebas automatizadas</w:t>
            </w:r>
          </w:p>
        </w:tc>
        <w:tc>
          <w:tcPr>
            <w:tcW w:type="dxa" w:w="5184"/>
            <w:vAlign w:val="center"/>
          </w:tcPr>
          <w:p>
            <w:pPr>
              <w:keepNext w:val="0"/>
              <w:spacing w:line="264" w:lineRule="auto" w:after="0"/>
              <w:ind w:firstLine="0"/>
            </w:pPr>
            <w:r>
              <w:rPr>
                <w:b w:val="0"/>
                <w:sz w:val="22"/>
              </w:rPr>
              <w:t>28 pruebas satisfactorias el 16/10/2026</w:t>
            </w:r>
          </w:p>
        </w:tc>
        <w:tc>
          <w:tcPr>
            <w:tcW w:type="dxa" w:w="1872"/>
            <w:vAlign w:val="center"/>
          </w:tcPr>
          <w:p>
            <w:pPr>
              <w:keepNext w:val="0"/>
              <w:spacing w:line="264" w:lineRule="auto" w:after="0"/>
              <w:ind w:firstLine="0"/>
              <w:jc w:val="center"/>
            </w:pPr>
            <w:r>
              <w:rPr>
                <w:b w:val="0"/>
                <w:sz w:val="22"/>
              </w:rPr>
              <w:t>Comprobadas</w:t>
            </w:r>
          </w:p>
        </w:tc>
      </w:tr>
      <w:tr>
        <w:trPr>
          <w:cantSplit/>
        </w:trPr>
        <w:tc>
          <w:tcPr>
            <w:tcW w:type="dxa" w:w="2304"/>
            <w:vAlign w:val="center"/>
          </w:tcPr>
          <w:p>
            <w:pPr>
              <w:keepNext w:val="0"/>
              <w:spacing w:line="264" w:lineRule="auto" w:after="0"/>
              <w:ind w:firstLine="0"/>
            </w:pPr>
            <w:r>
              <w:rPr>
                <w:b w:val="0"/>
                <w:sz w:val="22"/>
              </w:rPr>
              <w:t>Orden de etiquetas</w:t>
            </w:r>
          </w:p>
        </w:tc>
        <w:tc>
          <w:tcPr>
            <w:tcW w:type="dxa" w:w="5184"/>
            <w:vAlign w:val="center"/>
          </w:tcPr>
          <w:p>
            <w:pPr>
              <w:keepNext w:val="0"/>
              <w:spacing w:line="264" w:lineRule="auto" w:after="0"/>
              <w:ind w:firstLine="0"/>
            </w:pPr>
            <w:r>
              <w:rPr>
                <w:b w:val="0"/>
                <w:sz w:val="22"/>
              </w:rPr>
              <w:t>Cinco posiciones coherentes con la configuración</w:t>
            </w:r>
          </w:p>
        </w:tc>
        <w:tc>
          <w:tcPr>
            <w:tcW w:type="dxa" w:w="1872"/>
            <w:vAlign w:val="center"/>
          </w:tcPr>
          <w:p>
            <w:pPr>
              <w:keepNext w:val="0"/>
              <w:spacing w:line="264" w:lineRule="auto" w:after="0"/>
              <w:ind w:firstLine="0"/>
              <w:jc w:val="center"/>
            </w:pPr>
            <w:r>
              <w:rPr>
                <w:b w:val="0"/>
                <w:sz w:val="22"/>
              </w:rPr>
              <w:t>Comprobado</w:t>
            </w:r>
          </w:p>
        </w:tc>
      </w:tr>
      <w:tr>
        <w:trPr>
          <w:cantSplit/>
        </w:trPr>
        <w:tc>
          <w:tcPr>
            <w:tcW w:type="dxa" w:w="2304"/>
            <w:vAlign w:val="center"/>
          </w:tcPr>
          <w:p>
            <w:pPr>
              <w:keepNext w:val="0"/>
              <w:spacing w:line="264" w:lineRule="auto" w:after="0"/>
              <w:ind w:firstLine="0"/>
            </w:pPr>
            <w:r>
              <w:rPr>
                <w:b w:val="0"/>
                <w:sz w:val="22"/>
              </w:rPr>
              <w:t>Preprocesamiento de exportación</w:t>
            </w:r>
          </w:p>
        </w:tc>
        <w:tc>
          <w:tcPr>
            <w:tcW w:type="dxa" w:w="5184"/>
            <w:vAlign w:val="center"/>
          </w:tcPr>
          <w:p>
            <w:pPr>
              <w:keepNext w:val="0"/>
              <w:spacing w:line="264" w:lineRule="auto" w:after="0"/>
              <w:ind w:firstLine="0"/>
            </w:pPr>
            <w:r>
              <w:rPr>
                <w:b w:val="0"/>
                <w:sz w:val="22"/>
              </w:rPr>
              <w:t>Firma compatible; comparación externa pendiente</w:t>
            </w:r>
          </w:p>
        </w:tc>
        <w:tc>
          <w:tcPr>
            <w:tcW w:type="dxa" w:w="1872"/>
            <w:vAlign w:val="center"/>
          </w:tcPr>
          <w:p>
            <w:pPr>
              <w:keepNext w:val="0"/>
              <w:spacing w:line="264" w:lineRule="auto" w:after="0"/>
              <w:ind w:firstLine="0"/>
              <w:jc w:val="center"/>
            </w:pPr>
            <w:r>
              <w:rPr>
                <w:b w:val="0"/>
                <w:sz w:val="22"/>
              </w:rPr>
              <w:t>Pendiente</w:t>
            </w:r>
          </w:p>
        </w:tc>
      </w:tr>
      <w:tr>
        <w:trPr>
          <w:cantSplit/>
        </w:trPr>
        <w:tc>
          <w:tcPr>
            <w:tcW w:type="dxa" w:w="2304"/>
            <w:vAlign w:val="center"/>
          </w:tcPr>
          <w:p>
            <w:pPr>
              <w:keepNext w:val="0"/>
              <w:spacing w:line="264" w:lineRule="auto" w:after="0"/>
              <w:ind w:firstLine="0"/>
            </w:pPr>
            <w:r>
              <w:rPr>
                <w:b w:val="0"/>
                <w:sz w:val="22"/>
              </w:rPr>
              <w:t>Exactitud y métricas por clase</w:t>
            </w:r>
          </w:p>
        </w:tc>
        <w:tc>
          <w:tcPr>
            <w:tcW w:type="dxa" w:w="5184"/>
            <w:vAlign w:val="center"/>
          </w:tcPr>
          <w:p>
            <w:pPr>
              <w:keepNext w:val="0"/>
              <w:spacing w:line="264" w:lineRule="auto" w:after="0"/>
              <w:ind w:firstLine="0"/>
            </w:pPr>
            <w:r>
              <w:rPr>
                <w:b w:val="0"/>
                <w:sz w:val="22"/>
              </w:rPr>
              <w:t>Sin evaluación independiente del modelo actual</w:t>
            </w:r>
          </w:p>
        </w:tc>
        <w:tc>
          <w:tcPr>
            <w:tcW w:type="dxa" w:w="1872"/>
            <w:vAlign w:val="center"/>
          </w:tcPr>
          <w:p>
            <w:pPr>
              <w:keepNext w:val="0"/>
              <w:spacing w:line="264" w:lineRule="auto" w:after="0"/>
              <w:ind w:firstLine="0"/>
              <w:jc w:val="center"/>
            </w:pPr>
            <w:r>
              <w:rPr>
                <w:b w:val="0"/>
                <w:sz w:val="22"/>
              </w:rPr>
              <w:t>No medidas</w:t>
            </w:r>
          </w:p>
        </w:tc>
      </w:tr>
      <w:tr>
        <w:trPr>
          <w:cantSplit/>
        </w:trPr>
        <w:tc>
          <w:tcPr>
            <w:tcW w:type="dxa" w:w="2304"/>
            <w:vAlign w:val="center"/>
          </w:tcPr>
          <w:p>
            <w:pPr>
              <w:keepNext w:val="0"/>
              <w:spacing w:line="264" w:lineRule="auto" w:after="0"/>
              <w:ind w:firstLine="0"/>
            </w:pPr>
            <w:r>
              <w:rPr>
                <w:b w:val="0"/>
                <w:sz w:val="22"/>
              </w:rPr>
              <w:t>Secretos en el alcance revisado</w:t>
            </w:r>
          </w:p>
        </w:tc>
        <w:tc>
          <w:tcPr>
            <w:tcW w:type="dxa" w:w="5184"/>
            <w:vAlign w:val="center"/>
          </w:tcPr>
          <w:p>
            <w:pPr>
              <w:keepNext w:val="0"/>
              <w:spacing w:line="264" w:lineRule="auto" w:after="0"/>
              <w:ind w:firstLine="0"/>
            </w:pPr>
            <w:r>
              <w:rPr>
                <w:b w:val="0"/>
                <w:sz w:val="22"/>
              </w:rPr>
              <w:t>53 archivos y un commit local sin hallazgos</w:t>
            </w:r>
          </w:p>
        </w:tc>
        <w:tc>
          <w:tcPr>
            <w:tcW w:type="dxa" w:w="1872"/>
            <w:vAlign w:val="center"/>
          </w:tcPr>
          <w:p>
            <w:pPr>
              <w:keepNext w:val="0"/>
              <w:spacing w:line="264" w:lineRule="auto" w:after="0"/>
              <w:ind w:firstLine="0"/>
              <w:jc w:val="center"/>
            </w:pPr>
            <w:r>
              <w:rPr>
                <w:b w:val="0"/>
                <w:sz w:val="22"/>
              </w:rPr>
              <w:t>Revisión registrada</w:t>
            </w:r>
          </w:p>
        </w:tc>
      </w:tr>
      <w:tr>
        <w:trPr>
          <w:cantSplit/>
        </w:trPr>
        <w:tc>
          <w:tcPr>
            <w:tcW w:type="dxa" w:w="2304"/>
            <w:vAlign w:val="center"/>
          </w:tcPr>
          <w:p>
            <w:pPr>
              <w:keepNext w:val="0"/>
              <w:spacing w:line="264" w:lineRule="auto" w:after="0"/>
              <w:ind w:firstLine="0"/>
            </w:pPr>
            <w:r>
              <w:rPr>
                <w:b w:val="0"/>
                <w:sz w:val="22"/>
              </w:rPr>
              <w:t>Dependencias</w:t>
            </w:r>
          </w:p>
        </w:tc>
        <w:tc>
          <w:tcPr>
            <w:tcW w:type="dxa" w:w="5184"/>
            <w:vAlign w:val="center"/>
          </w:tcPr>
          <w:p>
            <w:pPr>
              <w:keepNext w:val="0"/>
              <w:spacing w:line="264" w:lineRule="auto" w:after="0"/>
              <w:ind w:firstLine="0"/>
            </w:pPr>
            <w:r>
              <w:rPr>
                <w:b w:val="0"/>
                <w:sz w:val="22"/>
              </w:rPr>
              <w:t>74 paquetes consultados sin avisos devueltos</w:t>
            </w:r>
          </w:p>
        </w:tc>
        <w:tc>
          <w:tcPr>
            <w:tcW w:type="dxa" w:w="1872"/>
            <w:vAlign w:val="center"/>
          </w:tcPr>
          <w:p>
            <w:pPr>
              <w:keepNext w:val="0"/>
              <w:spacing w:line="264" w:lineRule="auto" w:after="0"/>
              <w:ind w:firstLine="0"/>
              <w:jc w:val="center"/>
            </w:pPr>
            <w:r>
              <w:rPr>
                <w:b w:val="0"/>
                <w:sz w:val="22"/>
              </w:rPr>
              <w:t>Revisión registrada</w:t>
            </w:r>
          </w:p>
        </w:tc>
      </w:tr>
      <w:tr>
        <w:trPr>
          <w:cantSplit/>
        </w:trPr>
        <w:tc>
          <w:tcPr>
            <w:tcW w:type="dxa" w:w="2304"/>
            <w:vAlign w:val="center"/>
          </w:tcPr>
          <w:p>
            <w:pPr>
              <w:keepNext w:val="0"/>
              <w:spacing w:line="264" w:lineRule="auto" w:after="0"/>
              <w:ind w:firstLine="0"/>
            </w:pPr>
            <w:r>
              <w:rPr>
                <w:b w:val="0"/>
                <w:sz w:val="22"/>
              </w:rPr>
              <w:t>Cámara continua física</w:t>
            </w:r>
          </w:p>
        </w:tc>
        <w:tc>
          <w:tcPr>
            <w:tcW w:type="dxa" w:w="5184"/>
            <w:vAlign w:val="center"/>
          </w:tcPr>
          <w:p>
            <w:pPr>
              <w:keepNext w:val="0"/>
              <w:spacing w:line="264" w:lineRule="auto" w:after="0"/>
              <w:ind w:firstLine="0"/>
            </w:pPr>
            <w:r>
              <w:rPr>
                <w:b w:val="0"/>
                <w:sz w:val="22"/>
              </w:rPr>
              <w:t>Reglas probadas; sin ensayo integral de hardware</w:t>
            </w:r>
          </w:p>
        </w:tc>
        <w:tc>
          <w:tcPr>
            <w:tcW w:type="dxa" w:w="1872"/>
            <w:vAlign w:val="center"/>
          </w:tcPr>
          <w:p>
            <w:pPr>
              <w:keepNext w:val="0"/>
              <w:spacing w:line="264" w:lineRule="auto" w:after="0"/>
              <w:ind w:firstLine="0"/>
              <w:jc w:val="center"/>
            </w:pPr>
            <w:r>
              <w:rPr>
                <w:b w:val="0"/>
                <w:sz w:val="22"/>
              </w:rPr>
              <w:t>Pendiente</w:t>
            </w:r>
          </w:p>
        </w:tc>
      </w:tr>
      <w:tr>
        <w:trPr>
          <w:cantSplit/>
        </w:trPr>
        <w:tc>
          <w:tcPr>
            <w:tcW w:type="dxa" w:w="2304"/>
            <w:vAlign w:val="center"/>
          </w:tcPr>
          <w:p>
            <w:pPr>
              <w:keepNext/>
              <w:spacing w:line="264" w:lineRule="auto" w:after="0"/>
              <w:ind w:firstLine="0"/>
            </w:pPr>
            <w:r>
              <w:rPr>
                <w:b w:val="0"/>
                <w:sz w:val="22"/>
              </w:rPr>
              <w:t>Operación pública bajo carga</w:t>
            </w:r>
          </w:p>
        </w:tc>
        <w:tc>
          <w:tcPr>
            <w:tcW w:type="dxa" w:w="5184"/>
            <w:vAlign w:val="center"/>
          </w:tcPr>
          <w:p>
            <w:pPr>
              <w:keepNext/>
              <w:spacing w:line="264" w:lineRule="auto" w:after="0"/>
              <w:ind w:firstLine="0"/>
            </w:pPr>
            <w:r>
              <w:rPr>
                <w:b w:val="0"/>
                <w:sz w:val="22"/>
              </w:rPr>
              <w:t>Sin evidencia de prueba de concurrencia</w:t>
            </w:r>
          </w:p>
        </w:tc>
        <w:tc>
          <w:tcPr>
            <w:tcW w:type="dxa" w:w="1872"/>
            <w:vAlign w:val="center"/>
          </w:tcPr>
          <w:p>
            <w:pPr>
              <w:keepNext/>
              <w:spacing w:line="264" w:lineRule="auto" w:after="0"/>
              <w:ind w:firstLine="0"/>
              <w:jc w:val="center"/>
            </w:pPr>
            <w:r>
              <w:rPr>
                <w:b w:val="0"/>
                <w:sz w:val="22"/>
              </w:rPr>
              <w:t>Pendiente</w:t>
            </w:r>
          </w:p>
        </w:tc>
      </w:tr>
    </w:tbl>
    <w:p>
      <w:pPr>
        <w:keepLines/>
        <w:ind w:firstLine="0"/>
      </w:pPr>
      <w:r>
        <w:rPr>
          <w:i/>
        </w:rPr>
        <w:t xml:space="preserve">Nota. </w:t>
      </w:r>
      <w:r>
        <w:t>Las pruebas de software no estiman desempeño veterinario. Los resultados de seguridad describen el alcance y el momento de la revisión almacenada.</w:t>
      </w:r>
    </w:p>
    <w:p>
      <w:r>
        <w:rPr>
          <w:i w:val="0"/>
        </w:rPr>
        <w:t>Las pruebas de inferencia comprueban que el artefacto puede cargarse y producir una salida válida de cinco posiciones. Las pruebas de evaluación utilizan casos controlados para confirmar cálculos y generación de archivos. Algunas entradas son sintéticas y no representan fotografías veterinarias. Por tanto, aprobar las 28 pruebas no equivale a lograr una exactitud del 100 % ni permite calcular sensibilidad clínica.</w:t>
      </w:r>
    </w:p>
    <w:p>
      <w:r>
        <w:rPr>
          <w:i w:val="0"/>
        </w:rPr>
        <w:t>La integración del modelo y las reglas se encuentra operativa. La aplicación puede presentar resultados sin depender de servicios externos de inferencia. La evidencia disponible respalda el funcionamiento de los componentes comprobados, pero no establece tiempos de respuesta bajo carga, estabilidad con numerosos usuarios, cobertura clínica ni comportamiento físico de la cámara continua.</w:t>
      </w:r>
    </w:p>
    <w:p>
      <w:pPr>
        <w:pStyle w:val="Heading2"/>
      </w:pPr>
      <w:r>
        <w:rPr>
          <w:rFonts w:ascii="Times New Roman" w:hAnsi="Times New Roman"/>
          <w:b/>
          <w:sz w:val="24"/>
        </w:rPr>
        <w:t>Estado de la evaluación del modelo</w:t>
      </w:r>
    </w:p>
    <w:p>
      <w:r>
        <w:rPr>
          <w:i w:val="0"/>
        </w:rPr>
        <w:t>No existe una matriz de confusión real del modelo actual sobre una prueba independiente. Tampoco se dispone de exactitud de entrenamiento y prueba, precisión por clase, sensibilidad, F1 o intervalos de incertidumbre obtenidos con ese protocolo. En consecuencia, el informe no incorpora porcentajes de rendimiento predictivo ni afirma superioridad frente a otro método.</w:t>
      </w:r>
    </w:p>
    <w:p>
      <w:r>
        <w:rPr>
          <w:i w:val="0"/>
        </w:rPr>
        <w:t>La ausencia de esas métricas constituye un resultado del estado de madurez del proyecto: la infraestructura está implementada y verificada funcionalmente, mientras que la etapa experimental permanece abierta. Los recuentos de ZIP, la firma del modelo y las pruebas unitarias son evidencias útiles, aunque responden preguntas distintas de la generalización del clasificador.</w:t>
      </w:r>
    </w:p>
    <w:p>
      <w:pPr>
        <w:pStyle w:val="Heading1"/>
      </w:pPr>
      <w:r>
        <w:rPr>
          <w:rFonts w:ascii="Times New Roman" w:hAnsi="Times New Roman"/>
          <w:b/>
          <w:sz w:val="24"/>
        </w:rPr>
        <w:t>Seguridad y privacidad</w:t>
      </w:r>
    </w:p>
    <w:p>
      <w:pPr>
        <w:pStyle w:val="Heading2"/>
      </w:pPr>
      <w:r>
        <w:rPr>
          <w:rFonts w:ascii="Times New Roman" w:hAnsi="Times New Roman"/>
          <w:b/>
          <w:sz w:val="24"/>
        </w:rPr>
        <w:t>Secretos y servicios externos</w:t>
      </w:r>
    </w:p>
    <w:p>
      <w:r>
        <w:rPr>
          <w:i w:val="0"/>
        </w:rPr>
        <w:t>La revisión almacenada en secretos_final.json examinó 53 archivos, un commit local y un objeto de contenido de Git mediante patrones de credenciales. No registró hallazgos. El alcance corresponde a ese conjunto y a ese momento: no es una demostración matemática de ausencia de secretos ni una inspección completa de cuentas externas. El resultado debe repetirse cuando se incorporen nuevos archivos o se prepare una publicación.</w:t>
      </w:r>
    </w:p>
    <w:p>
      <w:r>
        <w:rPr>
          <w:i w:val="0"/>
        </w:rPr>
        <w:t>La aplicación no requiere una clave de OpenAI ni una clave de otro proveedor de inferencia para ejecutar el modelo. Las reglas de exclusión de Git protegen archivos .env, secretos de Streamlit, credenciales comunes, claves privadas, datasets y respaldos. Esas exclusiones previenen inclusiones accidentales futuras, pero no eliminan un secreto que ya hubiera sido versionado. Cualquier hallazgo real exigiría retirar la exposición y revocar la credencial correspondiente.</w:t>
      </w:r>
    </w:p>
    <w:p>
      <w:pPr>
        <w:pStyle w:val="Heading2"/>
      </w:pPr>
      <w:r>
        <w:rPr>
          <w:rFonts w:ascii="Times New Roman" w:hAnsi="Times New Roman"/>
          <w:b/>
          <w:sz w:val="24"/>
        </w:rPr>
        <w:t>Dependencias y controles de la aplicación</w:t>
      </w:r>
    </w:p>
    <w:p>
      <w:r>
        <w:rPr>
          <w:i w:val="0"/>
        </w:rPr>
        <w:t>La revisión inicial motivó la actualización de Streamlit a 1.54.0 y Pillow a 12.3.0. El aviso oficial de Streamlit describe una vulnerabilidad de solicitudes del servidor y exposición de credenciales NTLM en Windows, corregida en 1.54.0 (Streamlit, 2026). Pillow documenta una vulnerabilidad de consumo de memoria durante la decodificación JPEG2000, corregida en 12.3.0 (Pillow, 2026). Estos antecedentes justifican las versiones utilizadas.</w:t>
      </w:r>
    </w:p>
    <w:p>
      <w:r>
        <w:rPr>
          <w:i w:val="0"/>
        </w:rPr>
        <w:t>El informe final de dependencias registra una consulta completa de 74 paquetes sin hallazgos devueltos por la base consultada. Ese resultado representa ausencia de avisos conocidos en esa revisión y no garantiza que todas las dependencias estén libres de defectos. El mantenimiento debe conservar el bloqueo de versiones, revisar nuevos avisos y repetir las pruebas antes de actualizar el entorno de publicación.</w:t>
      </w:r>
    </w:p>
    <w:p>
      <w:r>
        <w:rPr>
          <w:i w:val="0"/>
        </w:rPr>
        <w:t>La configuración mantiene activas las protecciones CORS y XSRF, desactiva el servicio de archivos estáticos y evita mostrar detalles de errores al visitante. También desactiva el envío de estadísticas de uso de Streamlit. La documentación oficial describe estas opciones de configuración (Streamlit, s. f.-a). En la aplicación, las excepciones se convierten en mensajes generales y los registros no incluyen deliberadamente el contenido de las imágenes ni valores sensibles de la excepción.</w:t>
      </w:r>
    </w:p>
    <w:p>
      <w:pPr>
        <w:pStyle w:val="Heading2"/>
      </w:pPr>
      <w:r>
        <w:rPr>
          <w:rFonts w:ascii="Times New Roman" w:hAnsi="Times New Roman"/>
          <w:b/>
          <w:sz w:val="24"/>
        </w:rPr>
        <w:t>Tratamiento de imágenes y riesgos residuales</w:t>
      </w:r>
    </w:p>
    <w:p>
      <w:r>
        <w:rPr>
          <w:i w:val="0"/>
        </w:rPr>
        <w:t>La aplicación web no guarda deliberadamente en disco las fotografías subidas y elimina metadatos de la imagen preparada para vista previa. El historial es de sesión y está limitado. Esto no equivale a una garantía sobre todos los registros, copias temporales o políticas del proveedor de alojamiento; esas condiciones deben revisarse cuando se elija la infraestructura. El módulo de cámara continua sí conserva capturas de alertas localmente, por lo que requiere una política de conservación propia.</w:t>
      </w:r>
    </w:p>
    <w:p>
      <w:r>
        <w:rPr>
          <w:i w:val="0"/>
        </w:rPr>
        <w:t>Los límites de tamaño y píxeles reducen el consumo asociado a una sola imagen, pero el prototipo no incorpora una cuota global de solicitudes por usuario ni un sistema completo de autenticación. El uso público necesita HTTPS, restricciones de tráfico acordes al alojamiento y seguimiento de recursos. La evaluación de seguridad realizada es una revisión de código y configuración con pruebas específicas, no una prueba de penetración integral.</w:t>
      </w:r>
    </w:p>
    <w:p>
      <w:pPr>
        <w:pStyle w:val="Heading1"/>
      </w:pPr>
      <w:r>
        <w:rPr>
          <w:rFonts w:ascii="Times New Roman" w:hAnsi="Times New Roman"/>
          <w:b/>
          <w:sz w:val="24"/>
        </w:rPr>
        <w:t>Publicación web y mantenimiento</w:t>
      </w:r>
    </w:p>
    <w:p>
      <w:r>
        <w:rPr>
          <w:i w:val="0"/>
        </w:rPr>
        <w:t>La aplicación ya utiliza una arquitectura web. Para publicarla se debe alojar el proceso Streamlit en un servidor accesible y proporcionar los archivos requeridos por el modelo. La documentación de Community Cloud describe un despliegue vinculado a un repositorio, una rama y un archivo principal (Streamlit, s. f.-b). En este proyecto, el punto de entrada es 05_app/app.py y el entorno previsto utiliza Python 3.12.</w:t>
      </w:r>
    </w:p>
    <w:p>
      <w:r>
        <w:rPr>
          <w:i w:val="0"/>
        </w:rPr>
        <w:t>Los archivos del modelo se excluyen del seguimiento habitual de Git. Por ello, un despliegue que solo copie el código puede iniciar sin disponer de los pesos y etiquetas. Se debe preparar una distribución explícita del artefacto por un mecanismo compatible con el alojamiento, mantener su integridad y comprobar el arranque desde un entorno limpio. Publicar la web tampoco obliga a publicar datasets, respaldos o credenciales.</w:t>
      </w:r>
    </w:p>
    <w:p>
      <w:r>
        <w:rPr>
          <w:i w:val="0"/>
        </w:rPr>
        <w:t>La guía PUBLICAR.md documenta la ruta de publicación. Antes de abrir el acceso se requiere comprobar carga del modelo, análisis de una fotografía, errores de formato, uso desde móvil y comportamiento con varias sesiones. También deben definirse acceso, límites operativos y conservación de datos. El presente informe describe la preparación técnica y no acredita una publicación pública ya realizada.</w:t>
      </w:r>
    </w:p>
    <w:p>
      <w:r>
        <w:rPr>
          <w:i w:val="0"/>
        </w:rPr>
        <w:t>El mantenimiento debe vincular cada versión del modelo con sus etiquetas, preprocesamiento y evaluación. Cambiar únicamente los pesos puede modificar el comportamiento aunque permanezcan las mismas clases. Las nuevas evaluaciones deben conservar configuración, hashes y fecha para distinguir versiones. Reutilizar métricas antiguas después de sustituir el modelo produciría una evidencia incorrecta del sistema actual.</w:t>
      </w:r>
    </w:p>
    <w:p>
      <w:pPr>
        <w:pStyle w:val="Heading1"/>
      </w:pPr>
      <w:r>
        <w:rPr>
          <w:rFonts w:ascii="Times New Roman" w:hAnsi="Times New Roman"/>
          <w:b/>
          <w:sz w:val="24"/>
        </w:rPr>
        <w:t>Discusión y limitaciones</w:t>
      </w:r>
    </w:p>
    <w:p>
      <w:r>
        <w:rPr>
          <w:i w:val="0"/>
        </w:rPr>
        <w:t>El valor demostrado del proyecto se encuentra en la integración reproducible de componentes y en la posibilidad de explicar cómo una imagen se transforma en un resultado. Las clases se leen del modelo, las reglas se configuran externamente y la evaluación reutiliza la misma preparación de imágenes. Esta organización permite detectar incompatibilidades y reducir errores de mantenimiento al ampliar el alcance de piel a ojos.</w:t>
      </w:r>
    </w:p>
    <w:p>
      <w:r>
        <w:rPr>
          <w:i w:val="0"/>
        </w:rPr>
        <w:t>La principal limitación científica es la falta de trazabilidad completa e independencia de los datos de evaluación. Los ZIP disponibles aportan evidencia parcial de muestras, pero no permiten conocer el historial de aprendizaje. La ausencia de un archivo ocular de enfermedad en el inventario local tampoco demuestra que esa clase no haya sido entrenada; únicamente evidencia una brecha en los materiales conservados para documentarla.</w:t>
      </w:r>
    </w:p>
    <w:p>
      <w:r>
        <w:rPr>
          <w:i w:val="0"/>
        </w:rPr>
        <w:t>La selección de cinco clases impone otra limitación. El modelo debe elegir entre ellas aunque la imagen contenga una enfermedad distinta, una lesión ambigua o una condición no representada. La clase NoValido y la abstención atenúan algunos casos, pero no garantizan reconocer toda entrada desconocida. Se necesita un conjunto de evaluación que incluya ejemplos difíciles y condiciones ajenas al entrenamiento para estudiar ese comportamiento.</w:t>
      </w:r>
    </w:p>
    <w:p>
      <w:r>
        <w:rPr>
          <w:i w:val="0"/>
        </w:rPr>
        <w:t>La combinación de piel y ojos introduce diferencias de escala, textura y encuadre. El recorte central puede perder la región relevante cuando la captura está desplazada. Una futura solución podría permitir seleccionar la zona o incorporar detección de regiones, seguida de clasificación. Adoptar un detector como YOLO requeriría nuevas anotaciones y una evaluación apropiada; no sería equivalente a sustituir un archivo manteniendo sin cambios la interpretación de la salida.</w:t>
      </w:r>
    </w:p>
    <w:p>
      <w:r>
        <w:rPr>
          <w:i w:val="0"/>
        </w:rPr>
        <w:t>Tampoco se han medido efectos sobre decisiones veterinarias, tiempo de atención o resultados productivos. Esos beneficios no pueden afirmarse a partir de una demostración del software. La información visible debe mantener una distinción clara entre semejanza con una clase y diagnóstico confirmado. El uso de nombres de enfermedades mejora la comprensión de las categorías, pero también exige explicar el alcance de la clasificación.</w:t>
      </w:r>
    </w:p>
    <w:p>
      <w:pPr>
        <w:pStyle w:val="Heading1"/>
      </w:pPr>
      <w:r>
        <w:rPr>
          <w:rFonts w:ascii="Times New Roman" w:hAnsi="Times New Roman"/>
          <w:b/>
          <w:sz w:val="24"/>
        </w:rPr>
        <w:t>Conclusiones</w:t>
      </w:r>
    </w:p>
    <w:p>
      <w:r>
        <w:rPr>
          <w:i w:val="0"/>
        </w:rPr>
        <w:t>Se desarrolló un prototipo web modular que integra un modelo exportado de Teachable Machine con cinco clases de piel, ojos y rechazo. La aplicación permite cargar o capturar una imagen, aplica controles de archivos y calidad, obtiene puntuaciones y presenta una decisión con posibilidad de abstención. El modelo se ejecuta en TensorFlow dentro del servidor de la aplicación y no requiere una API externa de inferencia.</w:t>
      </w:r>
    </w:p>
    <w:p>
      <w:r>
        <w:rPr>
          <w:i w:val="0"/>
        </w:rPr>
        <w:t>La verificación técnica confirmó la entrada RGB de 224 × 224 en float32, la correspondencia de las cinco etiquetas y el funcionamiento de 28 pruebas automatizadas. Se implementaron controles de metadatos, errores y límites de carga, y se revisaron secretos y dependencias. Estos resultados respaldan los componentes comprobados y aportan una base para mantener y publicar el software.</w:t>
      </w:r>
    </w:p>
    <w:p>
      <w:r>
        <w:rPr>
          <w:i w:val="0"/>
        </w:rPr>
        <w:t>La capacidad del clasificador para generalizar permanece sin cuantificar. La evaluación independiente, la procedencia completa de los datos y la comparación del preprocesamiento con la exportación específica son requisitos pendientes. No corresponde concluir que el sistema diagnostica enfermedades ni asignarle un porcentaje de exactitud con la evidencia actual. El objetivo de integración del prototipo se alcanzó; el objetivo de validación predictiva requiere completar el estudio experimental.</w:t>
      </w:r>
    </w:p>
    <w:p>
      <w:pPr>
        <w:pStyle w:val="Heading1"/>
      </w:pPr>
      <w:r>
        <w:rPr>
          <w:rFonts w:ascii="Times New Roman" w:hAnsi="Times New Roman"/>
          <w:b/>
          <w:sz w:val="24"/>
        </w:rPr>
        <w:t>Recomendaciones</w:t>
      </w:r>
    </w:p>
    <w:p>
      <w:r>
        <w:rPr>
          <w:i w:val="0"/>
        </w:rPr>
        <w:t>La siguiente etapa debe priorizar la trazabilidad de las cinco clases: identificar fuentes, licencias, versiones y criterios de etiquetado; conciliar los recuentos existentes; y conservar las muestras oculares de enfermedad asociadas al entrenamiento. Después se debe preparar una prueba independiente y documentar si será necesario reentrenar para evitar contaminación entre conjuntos.</w:t>
      </w:r>
    </w:p>
    <w:p>
      <w:r>
        <w:rPr>
          <w:i w:val="0"/>
        </w:rPr>
        <w:t>Antes de evaluar, se recomienda confirmar el preprocesamiento con varias imágenes comparadas contra Teachable Machine y revisar el efecto del recorte en ojos y piel. Los umbrales de brillo, textura y aceptación deben seleccionarse con validación y posteriormente mantenerse fijos durante la prueba. Los informes deberán presentar métricas por clase, confusiones, cobertura e incertidumbre, con análisis explícito de falsos negativos y falsas alertas.</w:t>
      </w:r>
    </w:p>
    <w:p>
      <w:r>
        <w:rPr>
          <w:i w:val="0"/>
        </w:rPr>
        <w:t>Para la publicación, se recomienda desplegar primero una versión de demostración con HTTPS y acceso acotado, comprobar recursos y sesiones concurrentes y repetir la revisión de seguridad sobre el paquete final. La ampliación a nuevas enfermedades debe acompañarse de datos verificables y nueva evaluación. La arquitectura facilita la incorporación de cambios, pero la calidad de cada versión depende de la evidencia obtenida para su tarea concreta.</w:t>
      </w:r>
    </w:p>
    <w:p>
      <w:r>
        <w:br w:type="page"/>
      </w:r>
    </w:p>
    <w:p>
      <w:pPr>
        <w:keepNext/>
        <w:ind w:firstLine="0"/>
        <w:jc w:val="center"/>
      </w:pPr>
      <w:r>
        <w:rPr>
          <w:b/>
          <w:i w:val="0"/>
        </w:rPr>
        <w:t>Referencias</w:t>
      </w:r>
    </w:p>
    <w:p>
      <w:pPr>
        <w:keepLines/>
        <w:ind w:left="720" w:hanging="720"/>
      </w:pPr>
      <w:r>
        <w:rPr>
          <w:i w:val="0"/>
        </w:rPr>
        <w:t xml:space="preserve">Angelos, J. A. (2024, abril). </w:t>
      </w:r>
      <w:r>
        <w:rPr>
          <w:i/>
        </w:rPr>
        <w:t>Infectious keratoconjunctivitis in cattle and small ruminants</w:t>
      </w:r>
      <w:r>
        <w:rPr>
          <w:i w:val="0"/>
        </w:rPr>
        <w:t>. MSD Veterinary Manual. https://www.msdvetmanual.com/eye-diseases-and-disorders/infectious-keratoconjunctivitis/infectious-keratoconjunctivitis-in-cattle-and-small-ruminants</w:t>
      </w:r>
    </w:p>
    <w:p>
      <w:pPr>
        <w:keepLines/>
        <w:ind w:left="720" w:hanging="720"/>
      </w:pPr>
      <w:r>
        <w:rPr>
          <w:i w:val="0"/>
        </w:rPr>
        <w:t xml:space="preserve">Google Creative Lab. (s. f.). </w:t>
      </w:r>
      <w:r>
        <w:rPr>
          <w:i/>
        </w:rPr>
        <w:t>Keras image classification example</w:t>
      </w:r>
      <w:r>
        <w:rPr>
          <w:i w:val="0"/>
        </w:rPr>
        <w:t xml:space="preserve"> [Código fuente]. Teachable Machine Community. GitHub. https://github.com/googlecreativelab/teachablemachine-community/blob/master/snippets/markdown/image/tensorflow/keras.md</w:t>
      </w:r>
    </w:p>
    <w:p>
      <w:pPr>
        <w:keepLines/>
        <w:ind w:left="720" w:hanging="720"/>
      </w:pPr>
      <w:r>
        <w:rPr>
          <w:i w:val="0"/>
        </w:rPr>
        <w:t xml:space="preserve">Howard, A. G., Zhu, M., Chen, B., Kalenichenko, D., Wang, W., Weyand, T., Andreetto, M., &amp; Adam, H. (2017). </w:t>
      </w:r>
      <w:r>
        <w:rPr>
          <w:i/>
        </w:rPr>
        <w:t>MobileNets: Efficient convolutional neural networks for mobile vision applications</w:t>
      </w:r>
      <w:r>
        <w:rPr>
          <w:i w:val="0"/>
        </w:rPr>
        <w:t>. arXiv. https://doi.org/10.48550/arXiv.1704.04861</w:t>
      </w:r>
    </w:p>
    <w:p>
      <w:pPr>
        <w:keepLines/>
        <w:ind w:left="720" w:hanging="720"/>
      </w:pPr>
      <w:r>
        <w:rPr>
          <w:i w:val="0"/>
        </w:rPr>
        <w:t xml:space="preserve">IBM. (s. f.). </w:t>
      </w:r>
      <w:r>
        <w:rPr>
          <w:i/>
        </w:rPr>
        <w:t>CRISP-DM help overview</w:t>
      </w:r>
      <w:r>
        <w:rPr>
          <w:i w:val="0"/>
        </w:rPr>
        <w:t>. IBM SPSS Modeler. https://www.ibm.com/docs/en/spss-modeler/18.6.0?topic=dm-crisp-help-overview</w:t>
      </w:r>
    </w:p>
    <w:p>
      <w:pPr>
        <w:keepLines/>
        <w:ind w:left="720" w:hanging="720"/>
      </w:pPr>
      <w:r>
        <w:rPr>
          <w:i w:val="0"/>
        </w:rPr>
        <w:t xml:space="preserve">Pillow. (2026, 7 de julio). </w:t>
      </w:r>
      <w:r>
        <w:rPr>
          <w:i/>
        </w:rPr>
        <w:t>Pillow JPEG2000 tiled decode retains a growing scratch buffer and can be used for denial of service</w:t>
      </w:r>
      <w:r>
        <w:rPr>
          <w:i w:val="0"/>
        </w:rPr>
        <w:t xml:space="preserve"> [Aviso de seguridad GHSA-vjc4-5qp5-m44j]. GitHub. https://github.com/python-pillow/Pillow/security/advisories/GHSA-vjc4-5qp5-m44j</w:t>
      </w:r>
    </w:p>
    <w:p>
      <w:pPr>
        <w:keepLines/>
        <w:ind w:left="720" w:hanging="720"/>
      </w:pPr>
      <w:r>
        <w:rPr>
          <w:i w:val="0"/>
        </w:rPr>
        <w:t xml:space="preserve">scikit-learn developers. (s. f.). </w:t>
      </w:r>
      <w:r>
        <w:rPr>
          <w:i/>
        </w:rPr>
        <w:t>classification_report</w:t>
      </w:r>
      <w:r>
        <w:rPr>
          <w:i w:val="0"/>
        </w:rPr>
        <w:t>. scikit-learn. https://scikit-learn.org/stable/modules/generated/sklearn.metrics.classification_report.html</w:t>
      </w:r>
    </w:p>
    <w:p>
      <w:pPr>
        <w:keepLines/>
        <w:ind w:left="720" w:hanging="720"/>
      </w:pPr>
      <w:r>
        <w:rPr>
          <w:i w:val="0"/>
        </w:rPr>
        <w:t xml:space="preserve">Streamlit. (s. f.-a). </w:t>
      </w:r>
      <w:r>
        <w:rPr>
          <w:i/>
        </w:rPr>
        <w:t>config.toml</w:t>
      </w:r>
      <w:r>
        <w:rPr>
          <w:i w:val="0"/>
        </w:rPr>
        <w:t>. https://docs.streamlit.io/develop/api-reference/configuration/config.toml</w:t>
      </w:r>
    </w:p>
    <w:p>
      <w:pPr>
        <w:keepLines/>
        <w:ind w:left="720" w:hanging="720"/>
      </w:pPr>
      <w:r>
        <w:rPr>
          <w:i w:val="0"/>
        </w:rPr>
        <w:t xml:space="preserve">Streamlit. (s. f.-b). </w:t>
      </w:r>
      <w:r>
        <w:rPr>
          <w:i/>
        </w:rPr>
        <w:t>Deploy your app on Community Cloud</w:t>
      </w:r>
      <w:r>
        <w:rPr>
          <w:i w:val="0"/>
        </w:rPr>
        <w:t>. https://docs.streamlit.io/deploy/streamlit-community-cloud/deploy-your-app/deploy</w:t>
      </w:r>
    </w:p>
    <w:p>
      <w:pPr>
        <w:keepLines/>
        <w:ind w:left="720" w:hanging="720"/>
      </w:pPr>
      <w:r>
        <w:rPr>
          <w:i w:val="0"/>
        </w:rPr>
        <w:t xml:space="preserve">Streamlit. (2026, 24 de marzo). </w:t>
      </w:r>
      <w:r>
        <w:rPr>
          <w:i/>
        </w:rPr>
        <w:t>Unauthenticated SSRF vulnerability in Streamlit on Windows (NTLM credential exposure)</w:t>
      </w:r>
      <w:r>
        <w:rPr>
          <w:i w:val="0"/>
        </w:rPr>
        <w:t xml:space="preserve"> [Aviso de seguridad GHSA-7p48-42j8-8846]. GitHub. https://github.com/streamlit/streamlit/security/advisories/GHSA-7p48-42j8-8846</w:t>
      </w:r>
    </w:p>
    <w:p>
      <w:pPr>
        <w:keepLines/>
        <w:ind w:left="720" w:hanging="720"/>
      </w:pPr>
      <w:r>
        <w:rPr>
          <w:i w:val="0"/>
        </w:rPr>
        <w:t xml:space="preserve">TensorFlow. (2024a, 16 de agosto). </w:t>
      </w:r>
      <w:r>
        <w:rPr>
          <w:i/>
        </w:rPr>
        <w:t>Transfer learning and fine-tuning</w:t>
      </w:r>
      <w:r>
        <w:rPr>
          <w:i w:val="0"/>
        </w:rPr>
        <w:t>. https://www.tensorflow.org/tutorials/images/transfer_learning</w:t>
      </w:r>
    </w:p>
    <w:p>
      <w:pPr>
        <w:keepLines/>
        <w:ind w:left="720" w:hanging="720"/>
      </w:pPr>
      <w:r>
        <w:rPr>
          <w:i w:val="0"/>
        </w:rPr>
        <w:t xml:space="preserve">TensorFlow. (2024b, 23 de marzo). </w:t>
      </w:r>
      <w:r>
        <w:rPr>
          <w:i/>
        </w:rPr>
        <w:t>Using the SavedModel format</w:t>
      </w:r>
      <w:r>
        <w:rPr>
          <w:i w:val="0"/>
        </w:rPr>
        <w:t>. https://www.tensorflow.org/guide/saved_model</w:t>
      </w:r>
    </w:p>
    <w:p>
      <w:pPr>
        <w:keepLines/>
        <w:ind w:left="720" w:hanging="720"/>
      </w:pPr>
      <w:r>
        <w:rPr>
          <w:i w:val="0"/>
        </w:rPr>
        <w:t xml:space="preserve">World Organisation for Animal Health. (2026, 9 de julio). </w:t>
      </w:r>
      <w:r>
        <w:rPr>
          <w:i/>
        </w:rPr>
        <w:t>Lumpy skin disease</w:t>
      </w:r>
      <w:r>
        <w:rPr>
          <w:i w:val="0"/>
        </w:rPr>
        <w:t>. https://www.woah.org/en/disease/lumpy-skin-disease/</w:t>
      </w:r>
    </w:p>
    <w:p>
      <w:r>
        <w:br w:type="page"/>
      </w:r>
    </w:p>
    <w:p>
      <w:pPr>
        <w:keepNext/>
        <w:ind w:firstLine="0"/>
        <w:jc w:val="center"/>
      </w:pPr>
      <w:r>
        <w:rPr>
          <w:b/>
          <w:i w:val="0"/>
        </w:rPr>
        <w:t>Apéndice A</w:t>
      </w:r>
    </w:p>
    <w:p>
      <w:pPr>
        <w:keepNext/>
        <w:ind w:firstLine="0"/>
        <w:jc w:val="center"/>
      </w:pPr>
      <w:r>
        <w:rPr>
          <w:b/>
          <w:i w:val="0"/>
        </w:rPr>
        <w:t>Procedimiento de reproducción técnica</w:t>
      </w:r>
    </w:p>
    <w:p>
      <w:r>
        <w:rPr>
          <w:i w:val="0"/>
        </w:rPr>
        <w:t>Los comandos siguientes se ejecutan desde la raíz del proyecto en Windows. El entorno virtual separa sus dependencias de otros programas. La instalación opcional de OpenCV solo es necesaria para la cámara continua.</w:t>
      </w:r>
    </w:p>
    <w:p>
      <w:pPr>
        <w:spacing w:line="288" w:lineRule="auto" w:before="60" w:after="60"/>
        <w:ind w:firstLine="0"/>
      </w:pPr>
      <w:r>
        <w:rPr>
          <w:rFonts w:ascii="Courier New" w:hAnsi="Courier New"/>
          <w:i w:val="0"/>
          <w:sz w:val="18"/>
        </w:rPr>
        <w:t>py -3.12 -m venv .venv</w:t>
      </w:r>
    </w:p>
    <w:p>
      <w:pPr>
        <w:spacing w:line="288" w:lineRule="auto" w:before="60" w:after="60"/>
        <w:ind w:firstLine="0"/>
      </w:pPr>
      <w:r>
        <w:rPr>
          <w:rFonts w:ascii="Courier New" w:hAnsi="Courier New"/>
          <w:i w:val="0"/>
          <w:sz w:val="18"/>
        </w:rPr>
        <w:t>.\.venv\Scripts\python.exe -m pip install -r requirements.txt</w:t>
      </w:r>
    </w:p>
    <w:p>
      <w:pPr>
        <w:spacing w:line="288" w:lineRule="auto" w:before="60" w:after="60"/>
        <w:ind w:firstLine="0"/>
      </w:pPr>
      <w:r>
        <w:rPr>
          <w:rFonts w:ascii="Courier New" w:hAnsi="Courier New"/>
          <w:i w:val="0"/>
          <w:sz w:val="18"/>
        </w:rPr>
        <w:t>.\.venv\Scripts\python.exe -m pip check</w:t>
      </w:r>
    </w:p>
    <w:p>
      <w:r>
        <w:rPr>
          <w:i w:val="0"/>
        </w:rPr>
        <w:t>Para comprobar el modelo y ejecutar las pruebas del software se utilizan los comandos siguientes. Sus resultados validan la compatibilidad del entorno y los casos automatizados, pero no reemplazan la evaluación con imágenes independientes.</w:t>
      </w:r>
    </w:p>
    <w:p>
      <w:pPr>
        <w:spacing w:line="288" w:lineRule="auto" w:before="60" w:after="60"/>
        <w:ind w:firstLine="0"/>
      </w:pPr>
      <w:r>
        <w:rPr>
          <w:rFonts w:ascii="Courier New" w:hAnsi="Courier New"/>
          <w:i w:val="0"/>
          <w:sz w:val="18"/>
        </w:rPr>
        <w:t>.\.venv\Scripts\python.exe .\03_modelo\inspeccionar_modelo.py</w:t>
      </w:r>
    </w:p>
    <w:p>
      <w:pPr>
        <w:spacing w:line="288" w:lineRule="auto" w:before="60" w:after="60"/>
        <w:ind w:firstLine="0"/>
      </w:pPr>
      <w:r>
        <w:rPr>
          <w:rFonts w:ascii="Courier New" w:hAnsi="Courier New"/>
          <w:i w:val="0"/>
          <w:sz w:val="18"/>
        </w:rPr>
        <w:t>.\.venv\Scripts\python.exe -m unittest discover -s tests -v</w:t>
      </w:r>
    </w:p>
    <w:p>
      <w:r>
        <w:rPr>
          <w:i w:val="0"/>
        </w:rPr>
        <w:t>La aplicación se inicia con Streamlit y se consulta en el navegador. El host local se puede emplear para una demostración sin publicar el servidor en internet.</w:t>
      </w:r>
    </w:p>
    <w:p>
      <w:pPr>
        <w:spacing w:line="288" w:lineRule="auto" w:before="60" w:after="60"/>
        <w:ind w:firstLine="0"/>
      </w:pPr>
      <w:r>
        <w:rPr>
          <w:rFonts w:ascii="Courier New" w:hAnsi="Courier New"/>
          <w:i w:val="0"/>
          <w:sz w:val="18"/>
        </w:rPr>
        <w:t>.\.venv\Scripts\python.exe -m streamlit run .\05_app\app.py</w:t>
      </w:r>
    </w:p>
    <w:p>
      <w:r>
        <w:rPr>
          <w:i w:val="0"/>
        </w:rPr>
        <w:t>Para ejecutar la fase experimental, primero se deben completar las cinco carpetas de originales con datos autorizados y revisados. Después corresponde realizar el inventario, resolver conflictos y preparar una división independiente antes del entrenamiento que se evaluará.</w:t>
      </w:r>
    </w:p>
    <w:p>
      <w:pPr>
        <w:spacing w:line="288" w:lineRule="auto" w:before="60" w:after="60"/>
        <w:ind w:firstLine="0"/>
      </w:pPr>
      <w:r>
        <w:rPr>
          <w:rFonts w:ascii="Courier New" w:hAnsi="Courier New"/>
          <w:i w:val="0"/>
          <w:sz w:val="18"/>
        </w:rPr>
        <w:t>.\.venv\Scripts\python.exe .\01_datos\contar_clases.py</w:t>
      </w:r>
    </w:p>
    <w:p>
      <w:pPr>
        <w:spacing w:line="288" w:lineRule="auto" w:before="60" w:after="60"/>
        <w:ind w:firstLine="0"/>
      </w:pPr>
      <w:r>
        <w:rPr>
          <w:rFonts w:ascii="Courier New" w:hAnsi="Courier New"/>
          <w:i w:val="0"/>
          <w:sz w:val="18"/>
        </w:rPr>
        <w:t>.\.venv\Scripts\python.exe .\01_datos\detectar_duplicados.py</w:t>
      </w:r>
    </w:p>
    <w:p>
      <w:pPr>
        <w:spacing w:line="288" w:lineRule="auto" w:before="60" w:after="60"/>
        <w:ind w:firstLine="0"/>
      </w:pPr>
      <w:r>
        <w:rPr>
          <w:rFonts w:ascii="Courier New" w:hAnsi="Courier New"/>
          <w:i w:val="0"/>
          <w:sz w:val="18"/>
        </w:rPr>
        <w:t>.\.venv\Scripts\python.exe .\02_preparacion\dividir_datos.py</w:t>
      </w:r>
    </w:p>
    <w:p>
      <w:pPr>
        <w:spacing w:line="288" w:lineRule="auto" w:before="60" w:after="60"/>
        <w:ind w:firstLine="0"/>
      </w:pPr>
      <w:r>
        <w:rPr>
          <w:rFonts w:ascii="Courier New" w:hAnsi="Courier New"/>
          <w:i w:val="0"/>
          <w:sz w:val="18"/>
        </w:rPr>
        <w:t>.\.venv\Scripts\python.exe .\04_evaluacion\evaluar.py</w:t>
      </w:r>
    </w:p>
    <w:p>
      <w:r>
        <w:rPr>
          <w:i w:val="0"/>
        </w:rPr>
        <w:t>La evaluación se debe ejecutar solo después de verificar la relación entre el modelo y la partición. Si el modelo ya vio las imágenes de prueba, el informe resultante no representa generalización independiente, aunque los archivos puedan procesarse correctamente.</w:t>
      </w:r>
    </w:p>
    <w:p>
      <w:r>
        <w:br w:type="page"/>
      </w:r>
    </w:p>
    <w:p>
      <w:pPr>
        <w:keepNext/>
        <w:ind w:firstLine="0"/>
        <w:jc w:val="center"/>
      </w:pPr>
      <w:r>
        <w:rPr>
          <w:b/>
          <w:i w:val="0"/>
        </w:rPr>
        <w:t>Apéndice B</w:t>
      </w:r>
    </w:p>
    <w:p>
      <w:pPr>
        <w:keepNext/>
        <w:ind w:firstLine="0"/>
        <w:jc w:val="center"/>
      </w:pPr>
      <w:r>
        <w:rPr>
          <w:b/>
          <w:i w:val="0"/>
        </w:rPr>
        <w:t>Evidencias y trazabilidad del proyecto</w:t>
      </w:r>
    </w:p>
    <w:p>
      <w:r>
        <w:rPr>
          <w:i w:val="0"/>
        </w:rPr>
        <w:t>Las afirmaciones sobre configuración e implementación se apoyan en los archivos locales de la versión revisada. La Tabla B1 identifica las evidencias principales. Los archivos de muestras, pesos y resultados de revisión se mantienen separados del código distribuible según las exclusiones del repositorio.</w:t>
      </w:r>
    </w:p>
    <w:p>
      <w:pPr>
        <w:keepNext/>
        <w:ind w:firstLine="0"/>
      </w:pPr>
      <w:r>
        <w:rPr>
          <w:b/>
          <w:i w:val="0"/>
        </w:rPr>
        <w:t>Tabla B1</w:t>
      </w:r>
    </w:p>
    <w:p>
      <w:pPr>
        <w:keepNext/>
        <w:ind w:firstLine="0"/>
      </w:pPr>
      <w:r>
        <w:rPr>
          <w:i/>
        </w:rPr>
        <w:t>Archivos que sustentan la revisión del proyecto</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90" w:type="dxa"/>
          <w:bottom w:w="90" w:type="dxa"/>
          <w:left w:w="80" w:type="dxa"/>
          <w:right w:w="80" w:type="dxa"/>
        </w:tblCellMar>
      </w:tblPr>
      <w:tblGrid>
        <w:gridCol w:w="4104"/>
        <w:gridCol w:w="5256"/>
      </w:tblGrid>
      <w:tr>
        <w:trPr>
          <w:cantSplit/>
          <w:tblHeader/>
        </w:trPr>
        <w:tc>
          <w:tcPr>
            <w:tcW w:type="dxa" w:w="4104"/>
            <w:vAlign w:val="center"/>
            <w:tcBorders>
              <w:bottom w:val="single" w:sz="6" w:color="000000"/>
            </w:tcBorders>
          </w:tcPr>
          <w:p>
            <w:pPr>
              <w:keepNext/>
              <w:spacing w:line="264" w:lineRule="auto" w:after="0"/>
              <w:ind w:firstLine="0"/>
            </w:pPr>
            <w:r>
              <w:rPr>
                <w:b/>
                <w:sz w:val="22"/>
              </w:rPr>
              <w:t>Evidencia</w:t>
            </w:r>
          </w:p>
        </w:tc>
        <w:tc>
          <w:tcPr>
            <w:tcW w:type="dxa" w:w="5256"/>
            <w:vAlign w:val="center"/>
            <w:tcBorders>
              <w:bottom w:val="single" w:sz="6" w:color="000000"/>
            </w:tcBorders>
          </w:tcPr>
          <w:p>
            <w:pPr>
              <w:keepNext/>
              <w:spacing w:line="264" w:lineRule="auto" w:after="0"/>
              <w:ind w:firstLine="0"/>
            </w:pPr>
            <w:r>
              <w:rPr>
                <w:b/>
                <w:sz w:val="22"/>
              </w:rPr>
              <w:t>Contenido comprobable</w:t>
            </w:r>
          </w:p>
        </w:tc>
      </w:tr>
      <w:tr>
        <w:trPr>
          <w:cantSplit/>
        </w:trPr>
        <w:tc>
          <w:tcPr>
            <w:tcW w:type="dxa" w:w="4104"/>
            <w:vAlign w:val="center"/>
          </w:tcPr>
          <w:p>
            <w:pPr>
              <w:keepNext w:val="0"/>
              <w:spacing w:line="264" w:lineRule="auto" w:after="0"/>
              <w:ind w:firstLine="0"/>
            </w:pPr>
            <w:r>
              <w:rPr>
                <w:b w:val="0"/>
                <w:sz w:val="22"/>
              </w:rPr>
              <w:t>config.json</w:t>
            </w:r>
          </w:p>
        </w:tc>
        <w:tc>
          <w:tcPr>
            <w:tcW w:type="dxa" w:w="5256"/>
            <w:vAlign w:val="center"/>
          </w:tcPr>
          <w:p>
            <w:pPr>
              <w:keepNext w:val="0"/>
              <w:spacing w:line="264" w:lineRule="auto" w:after="0"/>
              <w:ind w:firstLine="0"/>
            </w:pPr>
            <w:r>
              <w:rPr>
                <w:b w:val="0"/>
                <w:sz w:val="22"/>
              </w:rPr>
              <w:t>Clases, umbrales, rutas y textos de la aplicación</w:t>
            </w:r>
          </w:p>
        </w:tc>
      </w:tr>
      <w:tr>
        <w:trPr>
          <w:cantSplit/>
        </w:trPr>
        <w:tc>
          <w:tcPr>
            <w:tcW w:type="dxa" w:w="4104"/>
            <w:vAlign w:val="center"/>
          </w:tcPr>
          <w:p>
            <w:pPr>
              <w:keepNext w:val="0"/>
              <w:spacing w:line="264" w:lineRule="auto" w:after="0"/>
              <w:ind w:firstLine="0"/>
            </w:pPr>
            <w:r>
              <w:rPr>
                <w:b w:val="0"/>
                <w:sz w:val="22"/>
              </w:rPr>
              <w:t>03_modelo/labels.txt</w:t>
            </w:r>
          </w:p>
        </w:tc>
        <w:tc>
          <w:tcPr>
            <w:tcW w:type="dxa" w:w="5256"/>
            <w:vAlign w:val="center"/>
          </w:tcPr>
          <w:p>
            <w:pPr>
              <w:keepNext w:val="0"/>
              <w:spacing w:line="264" w:lineRule="auto" w:after="0"/>
              <w:ind w:firstLine="0"/>
            </w:pPr>
            <w:r>
              <w:rPr>
                <w:b w:val="0"/>
                <w:sz w:val="22"/>
              </w:rPr>
              <w:t>Orden real de las cinco etiquetas</w:t>
            </w:r>
          </w:p>
        </w:tc>
      </w:tr>
      <w:tr>
        <w:trPr>
          <w:cantSplit/>
        </w:trPr>
        <w:tc>
          <w:tcPr>
            <w:tcW w:type="dxa" w:w="4104"/>
            <w:vAlign w:val="center"/>
          </w:tcPr>
          <w:p>
            <w:pPr>
              <w:keepNext w:val="0"/>
              <w:spacing w:line="264" w:lineRule="auto" w:after="0"/>
              <w:ind w:firstLine="0"/>
            </w:pPr>
            <w:r>
              <w:rPr>
                <w:b w:val="0"/>
                <w:sz w:val="22"/>
              </w:rPr>
              <w:t>03_modelo/inspeccion.json</w:t>
            </w:r>
          </w:p>
        </w:tc>
        <w:tc>
          <w:tcPr>
            <w:tcW w:type="dxa" w:w="5256"/>
            <w:vAlign w:val="center"/>
          </w:tcPr>
          <w:p>
            <w:pPr>
              <w:keepNext w:val="0"/>
              <w:spacing w:line="264" w:lineRule="auto" w:after="0"/>
              <w:ind w:firstLine="0"/>
            </w:pPr>
            <w:r>
              <w:rPr>
                <w:b w:val="0"/>
                <w:sz w:val="22"/>
              </w:rPr>
              <w:t>Firma, forma, tipo de entrada y hash del grafo</w:t>
            </w:r>
          </w:p>
        </w:tc>
      </w:tr>
      <w:tr>
        <w:trPr>
          <w:cantSplit/>
        </w:trPr>
        <w:tc>
          <w:tcPr>
            <w:tcW w:type="dxa" w:w="4104"/>
            <w:vAlign w:val="center"/>
          </w:tcPr>
          <w:p>
            <w:pPr>
              <w:keepNext w:val="0"/>
              <w:spacing w:line="264" w:lineRule="auto" w:after="0"/>
              <w:ind w:firstLine="0"/>
            </w:pPr>
            <w:r>
              <w:rPr>
                <w:b w:val="0"/>
                <w:sz w:val="22"/>
              </w:rPr>
              <w:t>03_modelo/origen.json</w:t>
            </w:r>
          </w:p>
        </w:tc>
        <w:tc>
          <w:tcPr>
            <w:tcW w:type="dxa" w:w="5256"/>
            <w:vAlign w:val="center"/>
          </w:tcPr>
          <w:p>
            <w:pPr>
              <w:keepNext w:val="0"/>
              <w:spacing w:line="264" w:lineRule="auto" w:after="0"/>
              <w:ind w:firstLine="0"/>
            </w:pPr>
            <w:r>
              <w:rPr>
                <w:b w:val="0"/>
                <w:sz w:val="22"/>
              </w:rPr>
              <w:t>Archivo de origen y fecha de importación</w:t>
            </w:r>
          </w:p>
        </w:tc>
      </w:tr>
      <w:tr>
        <w:trPr>
          <w:cantSplit/>
        </w:trPr>
        <w:tc>
          <w:tcPr>
            <w:tcW w:type="dxa" w:w="4104"/>
            <w:vAlign w:val="center"/>
          </w:tcPr>
          <w:p>
            <w:pPr>
              <w:keepNext w:val="0"/>
              <w:spacing w:line="264" w:lineRule="auto" w:after="0"/>
              <w:ind w:firstLine="0"/>
            </w:pPr>
            <w:r>
              <w:rPr>
                <w:b w:val="0"/>
                <w:sz w:val="22"/>
              </w:rPr>
              <w:t>tests/test_proyecto.py</w:t>
            </w:r>
          </w:p>
        </w:tc>
        <w:tc>
          <w:tcPr>
            <w:tcW w:type="dxa" w:w="5256"/>
            <w:vAlign w:val="center"/>
          </w:tcPr>
          <w:p>
            <w:pPr>
              <w:keepNext w:val="0"/>
              <w:spacing w:line="264" w:lineRule="auto" w:after="0"/>
              <w:ind w:firstLine="0"/>
            </w:pPr>
            <w:r>
              <w:rPr>
                <w:b w:val="0"/>
                <w:sz w:val="22"/>
              </w:rPr>
              <w:t>Pruebas de reglas, datos, modelo e interfaz</w:t>
            </w:r>
          </w:p>
        </w:tc>
      </w:tr>
      <w:tr>
        <w:trPr>
          <w:cantSplit/>
        </w:trPr>
        <w:tc>
          <w:tcPr>
            <w:tcW w:type="dxa" w:w="4104"/>
            <w:vAlign w:val="center"/>
          </w:tcPr>
          <w:p>
            <w:pPr>
              <w:keepNext w:val="0"/>
              <w:spacing w:line="264" w:lineRule="auto" w:after="0"/>
              <w:ind w:firstLine="0"/>
            </w:pPr>
            <w:r>
              <w:rPr>
                <w:b w:val="0"/>
                <w:sz w:val="22"/>
              </w:rPr>
              <w:t>tests/test_seguridad.py</w:t>
            </w:r>
          </w:p>
        </w:tc>
        <w:tc>
          <w:tcPr>
            <w:tcW w:type="dxa" w:w="5256"/>
            <w:vAlign w:val="center"/>
          </w:tcPr>
          <w:p>
            <w:pPr>
              <w:keepNext w:val="0"/>
              <w:spacing w:line="264" w:lineRule="auto" w:after="0"/>
              <w:ind w:firstLine="0"/>
            </w:pPr>
            <w:r>
              <w:rPr>
                <w:b w:val="0"/>
                <w:sz w:val="22"/>
              </w:rPr>
              <w:t>Pruebas de carga, metadatos y errores</w:t>
            </w:r>
          </w:p>
        </w:tc>
      </w:tr>
      <w:tr>
        <w:trPr>
          <w:cantSplit/>
        </w:trPr>
        <w:tc>
          <w:tcPr>
            <w:tcW w:type="dxa" w:w="4104"/>
            <w:vAlign w:val="center"/>
          </w:tcPr>
          <w:p>
            <w:pPr>
              <w:keepNext w:val="0"/>
              <w:spacing w:line="264" w:lineRule="auto" w:after="0"/>
              <w:ind w:firstLine="0"/>
            </w:pPr>
            <w:r>
              <w:rPr>
                <w:b w:val="0"/>
                <w:sz w:val="22"/>
              </w:rPr>
              <w:t>.seguridad/secretos_final.json</w:t>
            </w:r>
          </w:p>
        </w:tc>
        <w:tc>
          <w:tcPr>
            <w:tcW w:type="dxa" w:w="5256"/>
            <w:vAlign w:val="center"/>
          </w:tcPr>
          <w:p>
            <w:pPr>
              <w:keepNext w:val="0"/>
              <w:spacing w:line="264" w:lineRule="auto" w:after="0"/>
              <w:ind w:firstLine="0"/>
            </w:pPr>
            <w:r>
              <w:rPr>
                <w:b w:val="0"/>
                <w:sz w:val="22"/>
              </w:rPr>
              <w:t>Alcance y resultado del examen por patrones</w:t>
            </w:r>
          </w:p>
        </w:tc>
      </w:tr>
      <w:tr>
        <w:trPr>
          <w:cantSplit/>
        </w:trPr>
        <w:tc>
          <w:tcPr>
            <w:tcW w:type="dxa" w:w="4104"/>
            <w:vAlign w:val="center"/>
          </w:tcPr>
          <w:p>
            <w:pPr>
              <w:keepNext w:val="0"/>
              <w:spacing w:line="264" w:lineRule="auto" w:after="0"/>
              <w:ind w:firstLine="0"/>
            </w:pPr>
            <w:r>
              <w:rPr>
                <w:b w:val="0"/>
                <w:sz w:val="22"/>
              </w:rPr>
              <w:t>.seguridad/dependencias_final.json</w:t>
            </w:r>
          </w:p>
        </w:tc>
        <w:tc>
          <w:tcPr>
            <w:tcW w:type="dxa" w:w="5256"/>
            <w:vAlign w:val="center"/>
          </w:tcPr>
          <w:p>
            <w:pPr>
              <w:keepNext w:val="0"/>
              <w:spacing w:line="264" w:lineRule="auto" w:after="0"/>
              <w:ind w:firstLine="0"/>
            </w:pPr>
            <w:r>
              <w:rPr>
                <w:b w:val="0"/>
                <w:sz w:val="22"/>
              </w:rPr>
              <w:t>Revisión completa de 74 paquetes</w:t>
            </w:r>
          </w:p>
        </w:tc>
      </w:tr>
      <w:tr>
        <w:trPr>
          <w:cantSplit/>
        </w:trPr>
        <w:tc>
          <w:tcPr>
            <w:tcW w:type="dxa" w:w="4104"/>
            <w:vAlign w:val="center"/>
          </w:tcPr>
          <w:p>
            <w:pPr>
              <w:keepNext w:val="0"/>
              <w:spacing w:line="264" w:lineRule="auto" w:after="0"/>
              <w:ind w:firstLine="0"/>
            </w:pPr>
            <w:r>
              <w:rPr>
                <w:b w:val="0"/>
                <w:sz w:val="22"/>
              </w:rPr>
              <w:t>.streamlit/config.toml</w:t>
            </w:r>
          </w:p>
        </w:tc>
        <w:tc>
          <w:tcPr>
            <w:tcW w:type="dxa" w:w="5256"/>
            <w:vAlign w:val="center"/>
          </w:tcPr>
          <w:p>
            <w:pPr>
              <w:keepNext w:val="0"/>
              <w:spacing w:line="264" w:lineRule="auto" w:after="0"/>
              <w:ind w:firstLine="0"/>
            </w:pPr>
            <w:r>
              <w:rPr>
                <w:b w:val="0"/>
                <w:sz w:val="22"/>
              </w:rPr>
              <w:t>Controles y opciones del servidor</w:t>
            </w:r>
          </w:p>
        </w:tc>
      </w:tr>
      <w:tr>
        <w:trPr>
          <w:cantSplit/>
        </w:trPr>
        <w:tc>
          <w:tcPr>
            <w:tcW w:type="dxa" w:w="4104"/>
            <w:vAlign w:val="center"/>
          </w:tcPr>
          <w:p>
            <w:pPr>
              <w:keepNext/>
              <w:spacing w:line="264" w:lineRule="auto" w:after="0"/>
              <w:ind w:firstLine="0"/>
            </w:pPr>
            <w:r>
              <w:rPr>
                <w:b w:val="0"/>
                <w:sz w:val="22"/>
              </w:rPr>
              <w:t>PUBLICAR.md</w:t>
            </w:r>
          </w:p>
        </w:tc>
        <w:tc>
          <w:tcPr>
            <w:tcW w:type="dxa" w:w="5256"/>
            <w:vAlign w:val="center"/>
          </w:tcPr>
          <w:p>
            <w:pPr>
              <w:keepNext/>
              <w:spacing w:line="264" w:lineRule="auto" w:after="0"/>
              <w:ind w:firstLine="0"/>
            </w:pPr>
            <w:r>
              <w:rPr>
                <w:b w:val="0"/>
                <w:sz w:val="22"/>
              </w:rPr>
              <w:t>Procedimiento previsto de publicación</w:t>
            </w:r>
          </w:p>
        </w:tc>
      </w:tr>
    </w:tbl>
    <w:p>
      <w:pPr>
        <w:keepLines/>
        <w:ind w:firstLine="0"/>
      </w:pPr>
      <w:r>
        <w:rPr>
          <w:i/>
        </w:rPr>
        <w:t xml:space="preserve">Nota. </w:t>
      </w:r>
      <w:r>
        <w:t>Rutas relativas a la raíz del proyecto. La revisión y los archivos de datos locales no se presentan como fuentes públicas recuperables.</w:t>
      </w:r>
    </w:p>
    <w:p>
      <w:r>
        <w:rPr>
          <w:i w:val="0"/>
        </w:rPr>
        <w:t>El identificador SHA-256 registrado para saved_model.pb es el siguiente. Identifica el archivo del grafo; no sustituye la huella conjunta de grafo, variables y etiquetas que utiliza la evaluación para distinguir versiones completas.</w:t>
      </w:r>
    </w:p>
    <w:p>
      <w:pPr>
        <w:spacing w:line="240" w:lineRule="auto"/>
        <w:ind w:firstLine="0"/>
      </w:pPr>
      <w:r>
        <w:rPr>
          <w:rFonts w:ascii="Courier New" w:hAnsi="Courier New"/>
          <w:i w:val="0"/>
          <w:sz w:val="18"/>
        </w:rPr>
        <w:t>bf7630406deba904d0377d92193388aec660124b4ce197bd310353d3216e9997</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Times New Roman" w:hAnsi="Times New Roman"/>
      <w:color w:val="000000"/>
      <w:sz w:val="24"/>
      <w:lang w:val="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0" w:line="480" w:lineRule="auto" w:before="0"/>
      <w:ind w:firstLine="0"/>
      <w:contextualSpacing/>
      <w:jc w:val="center"/>
    </w:pPr>
    <w:rPr>
      <w:rFonts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una aplicación web para el tamizaje visual de piel y ojos bovinos mediante clasificación de imágenes</dc:title>
  <dc:subject>Informe académico del proyecto de Inteligencia Artificial</dc:subject>
  <dc:creator>Cristian Alejandro Carvajal Luna Orozco</dc:creator>
  <cp:keywords>bovinos; clasificación de imágenes; tamizaje; APA 7</cp:keywords>
  <dc:description/>
  <cp:lastModifiedBy/>
  <cp:revision>1</cp:revision>
  <dcterms:created xsi:type="dcterms:W3CDTF">2026-10-16T12:00:00Z</dcterms:created>
  <dcterms:modified xsi:type="dcterms:W3CDTF">2026-10-16T12:00:00Z</dcterms:modified>
  <cp:category/>
</cp:coreProperties>
</file>