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val="0"/>
        </w:rPr>
      </w:r>
    </w:p>
    <w:p>
      <w:r>
        <w:rPr>
          <w:i w:val="0"/>
        </w:rPr>
      </w:r>
    </w:p>
    <w:p>
      <w:r>
        <w:rPr>
          <w:i w:val="0"/>
        </w:rPr>
      </w:r>
    </w:p>
    <w:p>
      <w:r>
        <w:rPr>
          <w:i w:val="0"/>
        </w:rPr>
      </w:r>
    </w:p>
    <w:p>
      <w:pPr>
        <w:pStyle w:val="Title"/>
      </w:pPr>
      <w:r>
        <w:rPr>
          <w:i w:val="0"/>
        </w:rPr>
        <w:t>Aplicación web para el análisis de piel y ojos bovinos</w:t>
      </w:r>
    </w:p>
    <w:p>
      <w:r>
        <w:rPr>
          <w:i w:val="0"/>
        </w:rPr>
      </w:r>
    </w:p>
    <w:p>
      <w:pPr>
        <w:spacing w:after="200"/>
        <w:jc w:val="center"/>
      </w:pPr>
      <w:r>
        <w:rPr>
          <w:i w:val="0"/>
        </w:rPr>
        <w:t>Cristian Alejandro Carvajal Luna Orozco</w:t>
      </w:r>
    </w:p>
    <w:p>
      <w:pPr>
        <w:spacing w:after="200"/>
        <w:jc w:val="center"/>
      </w:pPr>
      <w:r>
        <w:rPr>
          <w:i w:val="0"/>
        </w:rPr>
        <w:t>Universidad Católica Boliviana</w:t>
      </w:r>
    </w:p>
    <w:p>
      <w:pPr>
        <w:spacing w:after="200"/>
        <w:jc w:val="center"/>
      </w:pPr>
      <w:r>
        <w:rPr>
          <w:i w:val="0"/>
        </w:rPr>
        <w:t>Sede Santa Cruz</w:t>
      </w:r>
    </w:p>
    <w:p>
      <w:pPr>
        <w:spacing w:after="200"/>
        <w:jc w:val="center"/>
      </w:pPr>
      <w:r>
        <w:rPr>
          <w:i w:val="0"/>
        </w:rPr>
        <w:t>Inteligencia Artificial</w:t>
      </w:r>
    </w:p>
    <w:p>
      <w:pPr>
        <w:spacing w:after="200"/>
        <w:jc w:val="center"/>
      </w:pPr>
      <w:r>
        <w:rPr>
          <w:i w:val="0"/>
        </w:rPr>
        <w:t>16 de octubre de 2026</w:t>
      </w:r>
    </w:p>
    <w:p>
      <w:r>
        <w:br w:type="page"/>
      </w:r>
    </w:p>
    <w:p>
      <w:pPr>
        <w:pStyle w:val="Heading1"/>
      </w:pPr>
      <w:r>
        <w:t>Resumen</w:t>
      </w:r>
    </w:p>
    <w:p>
      <w:r>
        <w:rPr>
          <w:i w:val="0"/>
        </w:rPr>
        <w:t>El proyecto consiste en una aplicación web que analiza fotografías de piel y ojos bovinos mediante un modelo de inteligencia artificial. La herramienta reconoce cinco categorías: piel sana, dermatosis nodular contagiosa, imagen no válida, queratoconjuntivitis infecciosa bovina y ojo sano. Su propósito es apoyar la observación del ganado y presentar un resultado fácil de comprender a partir de una fotografía.</w:t>
      </w:r>
    </w:p>
    <w:p>
      <w:r>
        <w:rPr>
          <w:i w:val="0"/>
        </w:rPr>
        <w:t>El modelo fue entrenado en Teachable Machine y se integró en una aplicación desarrollada con Python, TensorFlow y Streamlit. El usuario puede subir una imagen o tomar una fotografía con la cámara de su dispositivo. El sistema revisa la calidad de la imagen, realiza la clasificación y muestra la categoría identificada, sus puntuaciones y una recomendación. Cuando la fotografía no es adecuada o el resultado es incierto, solicita una nueva captura.</w:t>
      </w:r>
    </w:p>
    <w:p>
      <w:r>
        <w:rPr>
          <w:i w:val="0"/>
        </w:rPr>
        <w:t>El desarrollo se organizó mediante la metodología CRISP-DM, que relaciona la comprensión del problema, el trabajo con datos, el modelado, la evaluación y la aplicación. Las pruebas del software verificaron la carga del modelo, el funcionamiento de la interfaz y las reglas utilizadas para presentar resultados. El producto es una herramienta académica de apoyo visual que no reemplaza la valoración veterinaria.</w:t>
      </w:r>
    </w:p>
    <w:p>
      <w:pPr>
        <w:pStyle w:val="Heading1"/>
      </w:pPr>
      <w:r>
        <w:t>Introducción</w:t>
      </w:r>
    </w:p>
    <w:p>
      <w:r>
        <w:rPr>
          <w:i w:val="0"/>
        </w:rPr>
        <w:t>La inteligencia artificial permite desarrollar programas capaces de reconocer patrones en imágenes. Una de sus aplicaciones es la clasificación de fotografías, en la que un modelo compara los rasgos de una imagen con los patrones aprendidos durante el entrenamiento y la relaciona con una categoría.</w:t>
      </w:r>
    </w:p>
    <w:p>
      <w:r>
        <w:rPr>
          <w:i w:val="0"/>
        </w:rPr>
        <w:t>Este proyecto aplica esa idea al análisis visual de bovinos. La piel y los ojos pueden mostrar cambios que llaman la atención durante la observación del animal. Una aplicación que organiza esas observaciones puede facilitar la consulta de una fotografía y presentar información básica sobre la categoría con la que guarda mayor semejanza.</w:t>
      </w:r>
    </w:p>
    <w:p>
      <w:r>
        <w:rPr>
          <w:i w:val="0"/>
        </w:rPr>
        <w:t>La propuesta reúne un modelo de clasificación y una interfaz web en español. Además de mostrar una clase, utiliza un semáforo de riesgo visual, presenta las puntuaciones de las categorías y permite repetir el análisis cuando la imagen no ofrece condiciones adecuadas. Así, el usuario puede comprender el resultado sin conocer los detalles internos del modelo.</w:t>
      </w:r>
    </w:p>
    <w:p>
      <w:r>
        <w:rPr>
          <w:i w:val="0"/>
        </w:rPr>
        <w:t>El informe explica el problema que aborda la aplicación, sus objetivos, los conceptos de inteligencia artificial utilizados, la metodología de desarrollo y el funcionamiento de sus componentes. También describe las pruebas realizadas y las medidas incorporadas para tratar las fotografías de forma controlada.</w:t>
      </w:r>
    </w:p>
    <w:p>
      <w:pPr>
        <w:pStyle w:val="Heading1"/>
      </w:pPr>
      <w:r>
        <w:t>Planteamiento del problema</w:t>
      </w:r>
    </w:p>
    <w:p>
      <w:r>
        <w:rPr>
          <w:i w:val="0"/>
        </w:rPr>
        <w:t>Las fotografías de animales pueden tener poca luz, desenfoque, encuadres incompletos o fondos que dificultan su interpretación. Una misma región del cuerpo puede verse diferente según la distancia, la posición del animal o el dispositivo utilizado. Estas variaciones también afectan el análisis automático.</w:t>
      </w:r>
    </w:p>
    <w:p>
      <w:r>
        <w:rPr>
          <w:i w:val="0"/>
        </w:rPr>
        <w:t>Por ello, el problema no consiste únicamente en obtener una etiqueta de un modelo. La aplicación debe ayudar al usuario a cargar una fotografía adecuada, reconocer cuándo conviene repetirla y presentar una respuesta comprensible. También debe distinguir entre una imagen que parece pertenecer a una clase y una confirmación de enfermedad.</w:t>
      </w:r>
    </w:p>
    <w:p>
      <w:r>
        <w:rPr>
          <w:i w:val="0"/>
        </w:rPr>
        <w:t>La pregunta que guía el desarrollo es cómo integrar un modelo de clasificación de imágenes en una aplicación web que permita analizar piel y ojos bovinos, mostrar un nivel de riesgo visual y orientar al usuario cuando la fotografía o el resultado no sean suficientes.</w:t>
      </w:r>
    </w:p>
    <w:p>
      <w:pPr>
        <w:pStyle w:val="Heading2"/>
      </w:pPr>
      <w:r>
        <w:t>Justificación</w:t>
      </w:r>
    </w:p>
    <w:p>
      <w:r>
        <w:rPr>
          <w:i w:val="0"/>
        </w:rPr>
        <w:t>El proyecto permite aplicar contenidos de Inteligencia Artificial en una solución concreta. Incluye aprendizaje supervisado, preparación de imágenes, clasificación multiclase, umbrales de decisión y evaluación. Al mismo tiempo, requiere organizar el programa para que la interfaz, el modelo y las reglas de interpretación trabajen de manera coordinada.</w:t>
      </w:r>
    </w:p>
    <w:p>
      <w:r>
        <w:rPr>
          <w:i w:val="0"/>
        </w:rPr>
        <w:t>La dermatosis nodular contagiosa puede producir nódulos en la piel y afectar el bienestar y la producción del ganado (World Organisation for Animal Health, 2026). La queratoconjuntivitis infecciosa bovina puede causar lagrimeo, cierre parcial del ojo y cambios en la transparencia de la córnea (Angelos, 2024). Estas manifestaciones explican el interés académico de estudiar fotografías de ambas zonas.</w:t>
      </w:r>
    </w:p>
    <w:p>
      <w:r>
        <w:rPr>
          <w:i w:val="0"/>
        </w:rPr>
        <w:t>El acceso mediante navegador facilita utilizar la herramienta desde una computadora o un teléfono. Su presentación en español y sus mensajes breves ayudan a que el funcionamiento sea comprensible. La aplicación se plantea como apoyo a la observación y conserva la indicación de consultar a un veterinario cuando corresponda.</w:t>
      </w:r>
    </w:p>
    <w:p>
      <w:pPr>
        <w:pStyle w:val="Heading1"/>
      </w:pPr>
      <w:r>
        <w:t>Objetivos</w:t>
      </w:r>
    </w:p>
    <w:p>
      <w:pPr>
        <w:pStyle w:val="Heading2"/>
      </w:pPr>
      <w:r>
        <w:t>Objetivo general</w:t>
      </w:r>
    </w:p>
    <w:p>
      <w:r>
        <w:rPr>
          <w:i w:val="0"/>
        </w:rPr>
        <w:t>Desarrollar una aplicación web que utilice inteligencia artificial para clasificar imágenes de piel y ojos bovinos y presentar resultados claros como apoyo al tamizaje visual.</w:t>
      </w:r>
    </w:p>
    <w:p>
      <w:pPr>
        <w:pStyle w:val="Heading2"/>
      </w:pPr>
      <w:r>
        <w:t>Objetivos específicos</w:t>
      </w:r>
    </w:p>
    <w:p>
      <w:pPr>
        <w:ind w:left="360" w:hanging="360"/>
      </w:pPr>
      <w:r>
        <w:rPr>
          <w:i w:val="0"/>
        </w:rPr>
        <w:t>1. Integrar un modelo entrenado en Teachable Machine que reconozca las cinco categorías del proyecto.</w:t>
      </w:r>
    </w:p>
    <w:p>
      <w:pPr>
        <w:ind w:left="360" w:hanging="360"/>
      </w:pPr>
      <w:r>
        <w:rPr>
          <w:i w:val="0"/>
        </w:rPr>
        <w:t>2. Preparar las fotografías con un procedimiento uniforme antes de analizarlas.</w:t>
      </w:r>
    </w:p>
    <w:p>
      <w:pPr>
        <w:ind w:left="360" w:hanging="360"/>
      </w:pPr>
      <w:r>
        <w:rPr>
          <w:i w:val="0"/>
        </w:rPr>
        <w:t>3. Aplicar controles para detectar archivos no permitidos e imágenes de calidad insuficiente.</w:t>
      </w:r>
    </w:p>
    <w:p>
      <w:pPr>
        <w:ind w:left="360" w:hanging="360"/>
      </w:pPr>
      <w:r>
        <w:rPr>
          <w:i w:val="0"/>
        </w:rPr>
        <w:t>4. Mostrar la categoría identificada, sus puntuaciones, un nivel de riesgo visual y una recomendación.</w:t>
      </w:r>
    </w:p>
    <w:p>
      <w:pPr>
        <w:ind w:left="360" w:hanging="360"/>
      </w:pPr>
      <w:r>
        <w:rPr>
          <w:i w:val="0"/>
        </w:rPr>
        <w:t>5. Organizar las funciones del programa para facilitar su mantenimiento y la incorporación de nuevas clases.</w:t>
      </w:r>
    </w:p>
    <w:p>
      <w:pPr>
        <w:ind w:left="360" w:hanging="360"/>
      </w:pPr>
      <w:r>
        <w:rPr>
          <w:i w:val="0"/>
        </w:rPr>
        <w:t>6. Comprobar mediante pruebas automatizadas el funcionamiento de los principales componentes de la aplicación.</w:t>
      </w:r>
    </w:p>
    <w:p>
      <w:pPr>
        <w:pStyle w:val="Heading1"/>
      </w:pPr>
      <w:r>
        <w:t>Marco teórico</w:t>
      </w:r>
    </w:p>
    <w:p>
      <w:pPr>
        <w:pStyle w:val="Heading2"/>
      </w:pPr>
      <w:r>
        <w:t>Aprendizaje supervisado</w:t>
      </w:r>
    </w:p>
    <w:p>
      <w:r>
        <w:rPr>
          <w:i w:val="0"/>
        </w:rPr>
        <w:t>El aprendizaje supervisado utiliza ejemplos asociados con una respuesta conocida. Para un clasificador de imágenes, cada fotografía se acompaña de una etiqueta que indica la clase a la que pertenece. El modelo aprende relaciones entre las características visuales y esas etiquetas.</w:t>
      </w:r>
    </w:p>
    <w:p>
      <w:r>
        <w:rPr>
          <w:i w:val="0"/>
        </w:rPr>
        <w:t>En este proyecto, las categorías incluyen imágenes de piel, imágenes de ojos y fotografías que no corresponden a una observación válida. El entrenamiento permite que el modelo produzca una puntuación para cada categoría cuando recibe una nueva imagen. La aplicación interpreta esas puntuaciones mediante reglas definidas para el proyecto.</w:t>
      </w:r>
    </w:p>
    <w:p>
      <w:pPr>
        <w:pStyle w:val="Heading2"/>
      </w:pPr>
      <w:r>
        <w:t>Redes neuronales y transferencia de aprendizaje</w:t>
      </w:r>
    </w:p>
    <w:p>
      <w:r>
        <w:rPr>
          <w:i w:val="0"/>
        </w:rPr>
        <w:t>Las redes neuronales convolucionales procesan imágenes mediante filtros que reconocen patrones visuales. Esos patrones pueden representar bordes, texturas y combinaciones de rasgos más complejos. La familia MobileNet utiliza una arquitectura orientada a reducir el costo de procesamiento en tareas de visión artificial (Howard et al., 2017).</w:t>
      </w:r>
    </w:p>
    <w:p>
      <w:r>
        <w:rPr>
          <w:i w:val="0"/>
        </w:rPr>
        <w:t>El proyecto se basa en un entrenamiento realizado con Teachable Machine y transferencia de aprendizaje. Este enfoque aprovecha características aprendidas previamente por una red y las adapta a las categorías de una nueva tarea. Permite trabajar con una base de reconocimiento visual existente, en lugar de comenzar todo el aprendizaje desde cero (TensorFlow, 2024a).</w:t>
      </w:r>
    </w:p>
    <w:p>
      <w:pPr>
        <w:pStyle w:val="Heading2"/>
      </w:pPr>
      <w:r>
        <w:t>Clasificación de imágenes</w:t>
      </w:r>
    </w:p>
    <w:p>
      <w:r>
        <w:rPr>
          <w:i w:val="0"/>
        </w:rPr>
        <w:t>Clasificar una imagen significa asignarla a una de las categorías consideradas por el modelo. La aplicación trabaja con cinco clases y presenta sus puntuaciones para que el usuario pueda observar cómo se distribuye el resultado. La categoría con mayor puntuación es la primera candidata, pero su aceptación también depende de la calidad de la imagen y de las reglas del sistema.</w:t>
      </w:r>
    </w:p>
    <w:p>
      <w:r>
        <w:rPr>
          <w:i w:val="0"/>
        </w:rPr>
        <w:t>Cada fotografía recibe una sola clase. El análisis se refiere a la región que aparece en ella: una imagen de piel no evalúa los ojos y una imagen de un ojo no describe el estado de todo el animal. Esta delimitación ayuda a utilizar correctamente la herramienta.</w:t>
      </w:r>
    </w:p>
    <w:p>
      <w:pPr>
        <w:pStyle w:val="Heading2"/>
      </w:pPr>
      <w:r>
        <w:t>Confianza y respuesta incierta</w:t>
      </w:r>
    </w:p>
    <w:p>
      <w:r>
        <w:rPr>
          <w:i w:val="0"/>
        </w:rPr>
        <w:t>La puntuación de confianza indica cuánto favorece el modelo una categoría frente a las otras. La aplicación utiliza un valor mínimo para decidir si presenta el resultado como aceptado. Si la puntuación no alcanza ese valor, muestra una respuesta de incertidumbre y recomienda repetir la fotografía.</w:t>
      </w:r>
    </w:p>
    <w:p>
      <w:r>
        <w:rPr>
          <w:i w:val="0"/>
        </w:rPr>
        <w:t>Este mecanismo evita que toda imagen termine obligatoriamente en una respuesta de piel sana, ojo sano o enfermedad. También existe una categoría específica para imágenes no válidas. En ambos casos, el sistema orienta al usuario para obtener una captura más útil.</w:t>
      </w:r>
    </w:p>
    <w:p>
      <w:pPr>
        <w:pStyle w:val="Heading2"/>
      </w:pPr>
      <w:r>
        <w:t>Evaluación de un clasificador</w:t>
      </w:r>
    </w:p>
    <w:p>
      <w:r>
        <w:rPr>
          <w:i w:val="0"/>
        </w:rPr>
        <w:t>La evaluación compara las predicciones con las etiquetas reales de un conjunto de imágenes. La exactitud representa la proporción global de aciertos. La precisión por clase indica cuántas predicciones de esa categoría fueron correctas, mientras que la sensibilidad indica cuántos de sus ejemplos reales fueron reconocidos.</w:t>
      </w:r>
    </w:p>
    <w:p>
      <w:r>
        <w:rPr>
          <w:i w:val="0"/>
        </w:rPr>
        <w:t>La matriz de confusión muestra las clases reales y las clases predichas en una tabla. Sus valores permiten observar tanto los aciertos como las confusiones entre categorías. Estas herramientas ayudan a interpretar el comportamiento de un modelo más allá de una sola fotografía.</w:t>
      </w:r>
    </w:p>
    <w:p>
      <w:pPr>
        <w:pStyle w:val="Heading1"/>
      </w:pPr>
      <w:r>
        <w:t>Metodología</w:t>
      </w:r>
    </w:p>
    <w:p>
      <w:r>
        <w:rPr>
          <w:i w:val="0"/>
        </w:rPr>
        <w:t>El desarrollo se organizó siguiendo CRISP-DM. Esta metodología divide el trabajo en seis fases relacionadas y permite volver a una etapa anterior cuando se necesita revisar datos o decisiones del proyecto (IBM, s. f.). En la aplicación, cada fase se vincula con una parte del proceso.</w:t>
      </w:r>
    </w:p>
    <w:p>
      <w:pPr>
        <w:pStyle w:val="Heading2"/>
      </w:pPr>
      <w:r>
        <w:t>Comprensión del problema</w:t>
      </w:r>
    </w:p>
    <w:p>
      <w:r>
        <w:rPr>
          <w:i w:val="0"/>
        </w:rPr>
        <w:t>Se definió una herramienta de apoyo visual para analizar fotografías de piel y ojos bovinos. Se establecieron las categorías, los tipos de entrada y la forma de presentar los resultados. También se decidió que la interfaz debía incluir respuestas de incertidumbre y una recomendación comprensible.</w:t>
      </w:r>
    </w:p>
    <w:p>
      <w:pPr>
        <w:pStyle w:val="Heading2"/>
      </w:pPr>
      <w:r>
        <w:t>Comprensión de los datos</w:t>
      </w:r>
    </w:p>
    <w:p>
      <w:r>
        <w:rPr>
          <w:i w:val="0"/>
        </w:rPr>
        <w:t>El planteamiento utiliza imágenes de conjuntos de datos públicos. Las fotografías se organizan por clase para relacionar cada ejemplo con su categoría. Al revisar los datos se consideran la cantidad de imágenes, su calidad, la variedad de condiciones de captura y la presencia de fotografías repetidas.</w:t>
      </w:r>
    </w:p>
    <w:p>
      <w:r>
        <w:rPr>
          <w:i w:val="0"/>
        </w:rPr>
        <w:t>Una distribución equilibrada ayuda a que las categorías tengan una representación comparable. Sin embargo, la variedad también es importante: muchas fotografías parecidas no aportan la misma información que imágenes de diferentes animales, posiciones e iluminaciones.</w:t>
      </w:r>
    </w:p>
    <w:p>
      <w:pPr>
        <w:pStyle w:val="Heading2"/>
      </w:pPr>
      <w:r>
        <w:t>Preparación de los datos</w:t>
      </w:r>
    </w:p>
    <w:p>
      <w:r>
        <w:rPr>
          <w:i w:val="0"/>
        </w:rPr>
        <w:t>El proyecto incorpora herramientas para contar imágenes, detectar duplicados y organizar conjuntos de entrenamiento y prueba. La separación permite aprender con una parte de los datos y estudiar el comportamiento con otra. Utilizar una selección reproducible facilita repetir el procedimiento bajo las mismas condiciones.</w:t>
      </w:r>
    </w:p>
    <w:p>
      <w:r>
        <w:rPr>
          <w:i w:val="0"/>
        </w:rPr>
        <w:t>La preparación también transforma las imágenes a un tamaño y una representación uniformes. Esto permite que el modelo reciba entradas compatibles y que la aplicación utilice el mismo tratamiento en cada análisis.</w:t>
      </w:r>
    </w:p>
    <w:p>
      <w:pPr>
        <w:pStyle w:val="Heading2"/>
      </w:pPr>
      <w:r>
        <w:t>Modelado</w:t>
      </w:r>
    </w:p>
    <w:p>
      <w:r>
        <w:rPr>
          <w:i w:val="0"/>
        </w:rPr>
        <w:t>El modelo se entrenó en Teachable Machine y se exportó para su uso con TensorFlow. La versión integrada reconoce cinco clases. Durante su incorporación se comprobó que el programa pudiera cargarlo, enviarle una imagen preparada y recibir una salida con las cinco puntuaciones correspondientes.</w:t>
      </w:r>
    </w:p>
    <w:p>
      <w:pPr>
        <w:pStyle w:val="Heading2"/>
      </w:pPr>
      <w:r>
        <w:t>Evaluación</w:t>
      </w:r>
    </w:p>
    <w:p>
      <w:r>
        <w:rPr>
          <w:i w:val="0"/>
        </w:rPr>
        <w:t>El proyecto incluye herramientas para calcular métricas por clase y generar matrices de confusión. Estas funciones utilizan el mismo tratamiento de imágenes que la aplicación. También se aplicaron pruebas automatizadas para verificar las reglas de decisión y el comportamiento de los componentes del programa.</w:t>
      </w:r>
    </w:p>
    <w:p>
      <w:pPr>
        <w:pStyle w:val="Heading2"/>
      </w:pPr>
      <w:r>
        <w:t>Aplicación</w:t>
      </w:r>
    </w:p>
    <w:p>
      <w:r>
        <w:rPr>
          <w:i w:val="0"/>
        </w:rPr>
        <w:t>La interfaz se construyó con Streamlit y se utiliza desde el navegador. Reúne la carga de imágenes, el análisis y la presentación de resultados en un mismo entorno. La organización modular permite actualizar el modelo y adaptar las categorías sin reconstruir toda la interfaz.</w:t>
      </w:r>
    </w:p>
    <w:p>
      <w:pPr>
        <w:pStyle w:val="Heading1"/>
      </w:pPr>
      <w:r>
        <w:t>Desarrollo de la aplicación</w:t>
      </w:r>
    </w:p>
    <w:p>
      <w:pPr>
        <w:pStyle w:val="Heading2"/>
      </w:pPr>
      <w:r>
        <w:t>Categorías reconocidas</w:t>
      </w:r>
    </w:p>
    <w:p>
      <w:r>
        <w:rPr>
          <w:i w:val="0"/>
        </w:rPr>
        <w:t>La versión actual del modelo contempla las siguientes categorías. Los nombres utilizados en pantalla buscan que el resultado sea comprensible para el usuario.</w:t>
      </w:r>
    </w:p>
    <w:p>
      <w:pPr>
        <w:keepNext/>
      </w:pPr>
      <w:r>
        <w:rPr>
          <w:b/>
          <w:i w:val="0"/>
        </w:rPr>
        <w:t>Categorías y significado del resultado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2952"/>
        <w:gridCol w:w="4752"/>
        <w:gridCol w:w="1656"/>
      </w:tblGrid>
      <w:tr>
        <w:trPr>
          <w:cantSplit/>
          <w:tblHeader/>
        </w:trPr>
        <w:tc>
          <w:tcPr>
            <w:tcW w:type="dxa" w:w="2952"/>
            <w:vAlign w:val="center"/>
            <w:shd w:fill="EEEEEE"/>
          </w:tcPr>
          <w:p>
            <w:pPr>
              <w:keepNext/>
              <w:spacing w:line="264" w:lineRule="auto" w:after="0"/>
            </w:pPr>
            <w:r>
              <w:rPr>
                <w:b/>
                <w:sz w:val="22"/>
              </w:rPr>
              <w:t>Categoría</w:t>
            </w:r>
          </w:p>
        </w:tc>
        <w:tc>
          <w:tcPr>
            <w:tcW w:type="dxa" w:w="4752"/>
            <w:vAlign w:val="center"/>
            <w:shd w:fill="EEEEEE"/>
          </w:tcPr>
          <w:p>
            <w:pPr>
              <w:keepNext/>
              <w:spacing w:line="264" w:lineRule="auto" w:after="0"/>
            </w:pPr>
            <w:r>
              <w:rPr>
                <w:b/>
                <w:sz w:val="22"/>
              </w:rPr>
              <w:t>Descripción</w:t>
            </w:r>
          </w:p>
        </w:tc>
        <w:tc>
          <w:tcPr>
            <w:tcW w:type="dxa" w:w="1656"/>
            <w:vAlign w:val="center"/>
            <w:shd w:fill="EEEEEE"/>
          </w:tcPr>
          <w:p>
            <w:pPr>
              <w:keepNext/>
              <w:spacing w:line="264" w:lineRule="auto" w:after="0"/>
              <w:jc w:val="center"/>
            </w:pPr>
            <w:r>
              <w:rPr>
                <w:b/>
                <w:sz w:val="22"/>
              </w:rPr>
              <w:t>Resultado visual</w:t>
            </w:r>
          </w:p>
        </w:tc>
      </w:tr>
      <w:tr>
        <w:trPr>
          <w:cantSplit/>
        </w:trPr>
        <w:tc>
          <w:tcPr>
            <w:tcW w:type="dxa" w:w="2952"/>
            <w:vAlign w:val="center"/>
          </w:tcPr>
          <w:p>
            <w:pPr>
              <w:keepNext/>
              <w:spacing w:line="264" w:lineRule="auto" w:after="0"/>
            </w:pPr>
            <w:r>
              <w:rPr>
                <w:b w:val="0"/>
                <w:sz w:val="22"/>
              </w:rPr>
              <w:t>Piel sana</w:t>
            </w:r>
          </w:p>
        </w:tc>
        <w:tc>
          <w:tcPr>
            <w:tcW w:type="dxa" w:w="4752"/>
            <w:vAlign w:val="center"/>
          </w:tcPr>
          <w:p>
            <w:pPr>
              <w:keepNext/>
              <w:spacing w:line="264" w:lineRule="auto" w:after="0"/>
            </w:pPr>
            <w:r>
              <w:rPr>
                <w:b w:val="0"/>
                <w:sz w:val="22"/>
              </w:rPr>
              <w:t>La fotografía se parece a la clase de piel sana.</w:t>
            </w:r>
          </w:p>
        </w:tc>
        <w:tc>
          <w:tcPr>
            <w:tcW w:type="dxa" w:w="1656"/>
            <w:vAlign w:val="center"/>
          </w:tcPr>
          <w:p>
            <w:pPr>
              <w:keepNext/>
              <w:spacing w:line="264" w:lineRule="auto" w:after="0"/>
              <w:jc w:val="center"/>
            </w:pPr>
            <w:r>
              <w:rPr>
                <w:b w:val="0"/>
                <w:sz w:val="22"/>
              </w:rPr>
              <w:t>Riesgo bajo</w:t>
            </w:r>
          </w:p>
        </w:tc>
      </w:tr>
      <w:tr>
        <w:trPr>
          <w:cantSplit/>
        </w:trPr>
        <w:tc>
          <w:tcPr>
            <w:tcW w:type="dxa" w:w="2952"/>
            <w:vAlign w:val="center"/>
          </w:tcPr>
          <w:p>
            <w:pPr>
              <w:keepNext/>
              <w:spacing w:line="264" w:lineRule="auto" w:after="0"/>
            </w:pPr>
            <w:r>
              <w:rPr>
                <w:b w:val="0"/>
                <w:sz w:val="22"/>
              </w:rPr>
              <w:t>Dermatosis nodular contagiosa</w:t>
            </w:r>
          </w:p>
        </w:tc>
        <w:tc>
          <w:tcPr>
            <w:tcW w:type="dxa" w:w="4752"/>
            <w:vAlign w:val="center"/>
          </w:tcPr>
          <w:p>
            <w:pPr>
              <w:keepNext/>
              <w:spacing w:line="264" w:lineRule="auto" w:after="0"/>
            </w:pPr>
            <w:r>
              <w:rPr>
                <w:b w:val="0"/>
                <w:sz w:val="22"/>
              </w:rPr>
              <w:t>La fotografía se parece a la clase de piel asociada con esta enfermedad.</w:t>
            </w:r>
          </w:p>
        </w:tc>
        <w:tc>
          <w:tcPr>
            <w:tcW w:type="dxa" w:w="1656"/>
            <w:vAlign w:val="center"/>
          </w:tcPr>
          <w:p>
            <w:pPr>
              <w:keepNext/>
              <w:spacing w:line="264" w:lineRule="auto" w:after="0"/>
              <w:jc w:val="center"/>
            </w:pPr>
            <w:r>
              <w:rPr>
                <w:b w:val="0"/>
                <w:sz w:val="22"/>
              </w:rPr>
              <w:t>Riesgo alto</w:t>
            </w:r>
          </w:p>
        </w:tc>
      </w:tr>
      <w:tr>
        <w:trPr>
          <w:cantSplit/>
        </w:trPr>
        <w:tc>
          <w:tcPr>
            <w:tcW w:type="dxa" w:w="2952"/>
            <w:vAlign w:val="center"/>
          </w:tcPr>
          <w:p>
            <w:pPr>
              <w:keepNext/>
              <w:spacing w:line="264" w:lineRule="auto" w:after="0"/>
            </w:pPr>
            <w:r>
              <w:rPr>
                <w:b w:val="0"/>
                <w:sz w:val="22"/>
              </w:rPr>
              <w:t>Imagen no válida</w:t>
            </w:r>
          </w:p>
        </w:tc>
        <w:tc>
          <w:tcPr>
            <w:tcW w:type="dxa" w:w="4752"/>
            <w:vAlign w:val="center"/>
          </w:tcPr>
          <w:p>
            <w:pPr>
              <w:keepNext/>
              <w:spacing w:line="264" w:lineRule="auto" w:after="0"/>
            </w:pPr>
            <w:r>
              <w:rPr>
                <w:b w:val="0"/>
                <w:sz w:val="22"/>
              </w:rPr>
              <w:t>La fotografía no corresponde a una observación adecuada para la tarea.</w:t>
            </w:r>
          </w:p>
        </w:tc>
        <w:tc>
          <w:tcPr>
            <w:tcW w:type="dxa" w:w="1656"/>
            <w:vAlign w:val="center"/>
          </w:tcPr>
          <w:p>
            <w:pPr>
              <w:keepNext/>
              <w:spacing w:line="264" w:lineRule="auto" w:after="0"/>
              <w:jc w:val="center"/>
            </w:pPr>
            <w:r>
              <w:rPr>
                <w:b w:val="0"/>
                <w:sz w:val="22"/>
              </w:rPr>
              <w:t>Repetir foto</w:t>
            </w:r>
          </w:p>
        </w:tc>
      </w:tr>
      <w:tr>
        <w:trPr>
          <w:cantSplit/>
        </w:trPr>
        <w:tc>
          <w:tcPr>
            <w:tcW w:type="dxa" w:w="2952"/>
            <w:vAlign w:val="center"/>
          </w:tcPr>
          <w:p>
            <w:pPr>
              <w:keepNext/>
              <w:spacing w:line="264" w:lineRule="auto" w:after="0"/>
            </w:pPr>
            <w:r>
              <w:rPr>
                <w:b w:val="0"/>
                <w:sz w:val="22"/>
              </w:rPr>
              <w:t>Queratoconjuntivitis infecciosa bovina</w:t>
            </w:r>
          </w:p>
        </w:tc>
        <w:tc>
          <w:tcPr>
            <w:tcW w:type="dxa" w:w="4752"/>
            <w:vAlign w:val="center"/>
          </w:tcPr>
          <w:p>
            <w:pPr>
              <w:keepNext/>
              <w:spacing w:line="264" w:lineRule="auto" w:after="0"/>
            </w:pPr>
            <w:r>
              <w:rPr>
                <w:b w:val="0"/>
                <w:sz w:val="22"/>
              </w:rPr>
              <w:t>La fotografía se parece a la clase ocular asociada con esta enfermedad.</w:t>
            </w:r>
          </w:p>
        </w:tc>
        <w:tc>
          <w:tcPr>
            <w:tcW w:type="dxa" w:w="1656"/>
            <w:vAlign w:val="center"/>
          </w:tcPr>
          <w:p>
            <w:pPr>
              <w:keepNext/>
              <w:spacing w:line="264" w:lineRule="auto" w:after="0"/>
              <w:jc w:val="center"/>
            </w:pPr>
            <w:r>
              <w:rPr>
                <w:b w:val="0"/>
                <w:sz w:val="22"/>
              </w:rPr>
              <w:t>Riesgo alto</w:t>
            </w:r>
          </w:p>
        </w:tc>
      </w:tr>
      <w:tr>
        <w:trPr>
          <w:cantSplit/>
        </w:trPr>
        <w:tc>
          <w:tcPr>
            <w:tcW w:type="dxa" w:w="2952"/>
            <w:vAlign w:val="center"/>
          </w:tcPr>
          <w:p>
            <w:pPr>
              <w:keepNext w:val="0"/>
              <w:spacing w:line="264" w:lineRule="auto" w:after="0"/>
            </w:pPr>
            <w:r>
              <w:rPr>
                <w:b w:val="0"/>
                <w:sz w:val="22"/>
              </w:rPr>
              <w:t>Ojo sano</w:t>
            </w:r>
          </w:p>
        </w:tc>
        <w:tc>
          <w:tcPr>
            <w:tcW w:type="dxa" w:w="4752"/>
            <w:vAlign w:val="center"/>
          </w:tcPr>
          <w:p>
            <w:pPr>
              <w:keepNext w:val="0"/>
              <w:spacing w:line="264" w:lineRule="auto" w:after="0"/>
            </w:pPr>
            <w:r>
              <w:rPr>
                <w:b w:val="0"/>
                <w:sz w:val="22"/>
              </w:rPr>
              <w:t>La fotografía se parece a la clase de ojo sano.</w:t>
            </w:r>
          </w:p>
        </w:tc>
        <w:tc>
          <w:tcPr>
            <w:tcW w:type="dxa" w:w="1656"/>
            <w:vAlign w:val="center"/>
          </w:tcPr>
          <w:p>
            <w:pPr>
              <w:keepNext w:val="0"/>
              <w:spacing w:line="264" w:lineRule="auto" w:after="0"/>
              <w:jc w:val="center"/>
            </w:pPr>
            <w:r>
              <w:rPr>
                <w:b w:val="0"/>
                <w:sz w:val="22"/>
              </w:rPr>
              <w:t>Riesgo bajo</w:t>
            </w:r>
          </w:p>
        </w:tc>
      </w:tr>
    </w:tbl>
    <w:p>
      <w:pPr>
        <w:spacing w:after="0" w:line="240" w:lineRule="auto"/>
      </w:pPr>
      <w:r>
        <w:rPr>
          <w:i w:val="0"/>
        </w:rPr>
      </w:r>
      <w:r>
        <w:rPr>
          <w:sz w:val="6"/>
        </w:rPr>
      </w:r>
    </w:p>
    <w:p>
      <w:r>
        <w:rPr>
          <w:i w:val="0"/>
        </w:rPr>
        <w:t>La categoría de imagen no válida comprende entradas que no permiten una observación apropiada para la tarea. El resultado de una categoría de enfermedad expresa semejanza con las imágenes de esa clase y debe interpretarse como apoyo visual.</w:t>
      </w:r>
    </w:p>
    <w:p>
      <w:pPr>
        <w:pStyle w:val="Heading2"/>
      </w:pPr>
      <w:r>
        <w:t>Tecnologías utilizadas</w:t>
      </w:r>
    </w:p>
    <w:p>
      <w:r>
        <w:rPr>
          <w:i w:val="0"/>
        </w:rPr>
        <w:t>Python se utiliza para organizar el procesamiento y las reglas de la aplicación. TensorFlow ejecuta el modelo entrenado. Streamlit crea la interfaz web y permite trabajar con controles de carga de imágenes y cámara. La documentación de TensorFlow describe cómo recuperar un modelo exportado y ejecutar sus funciones de inferencia (TensorFlow, 2024b).</w:t>
      </w:r>
    </w:p>
    <w:p>
      <w:r>
        <w:rPr>
          <w:i w:val="0"/>
        </w:rPr>
        <w:t>Pillow se emplea para abrir y transformar fotografías; NumPy, para realizar operaciones numéricas; y scikit-learn y Matplotlib, para calcular métricas y representar resultados de evaluación. El modo opcional de cámara continua utiliza OpenCV.</w:t>
      </w:r>
    </w:p>
    <w:p>
      <w:pPr>
        <w:pStyle w:val="Heading2"/>
      </w:pPr>
      <w:r>
        <w:t>Organización de los componentes</w:t>
      </w:r>
    </w:p>
    <w:p>
      <w:r>
        <w:rPr>
          <w:i w:val="0"/>
        </w:rPr>
        <w:t>El programa separa las funciones de entrada, preparación, clasificación, decisión y presentación. Esta organización facilita comprender dónde se realiza cada operación. También permite comprobar una regla de decisión sin tener que modificar la interfaz ni volver a entrenar el modelo.</w:t>
      </w:r>
    </w:p>
    <w:p>
      <w:r>
        <w:rPr>
          <w:i w:val="0"/>
        </w:rPr>
        <w:t>Las clases, los mensajes y los parámetros de análisis se administran mediante una configuración común. De esta manera, el contenido que ve el usuario mantiene coherencia con las categorías del modelo. La aplicación y las herramientas de evaluación comparten el procedimiento de preparación de imágenes.</w:t>
      </w:r>
    </w:p>
    <w:p>
      <w:pPr>
        <w:pStyle w:val="Heading2"/>
      </w:pPr>
      <w:r>
        <w:t>Preparación de la fotografía</w:t>
      </w:r>
    </w:p>
    <w:p>
      <w:r>
        <w:rPr>
          <w:i w:val="0"/>
        </w:rPr>
        <w:t>La imagen se convierte a RGB, que representa los colores mediante tres canales: rojo, verde y azul. Después se ajusta mediante un recorte central hasta obtener una entrada de 224 × 224 píxeles. Los valores de los píxeles se transforman a una escala de −1 a 1 antes de enviarlos al modelo.</w:t>
      </w:r>
    </w:p>
    <w:p>
      <w:r>
        <w:rPr>
          <w:i w:val="0"/>
        </w:rPr>
        <w:t>Utilizar el mismo procedimiento en cada análisis evita diferencias causadas por el tamaño o el formato original de la fotografía. El encuadre sigue siendo importante: la zona que se desea observar debe aparecer claramente y ocupar una parte suficiente de la imagen.</w:t>
      </w:r>
    </w:p>
    <w:p>
      <w:pPr>
        <w:pStyle w:val="Heading2"/>
      </w:pPr>
      <w:r>
        <w:t>Control de calidad</w:t>
      </w:r>
    </w:p>
    <w:p>
      <w:r>
        <w:rPr>
          <w:i w:val="0"/>
        </w:rPr>
        <w:t>La aplicación comprueba que el archivo pueda abrirse como una imagen y que pertenezca a uno de los formatos permitidos: JPEG, PNG, WEBP o BMP. También limita el tamaño del archivo a 12 MiB y la resolución total a 24 millones de píxeles.</w:t>
      </w:r>
    </w:p>
    <w:p>
      <w:r>
        <w:rPr>
          <w:i w:val="0"/>
        </w:rPr>
        <w:t>Antes del análisis se revisan la resolución, el brillo y el detalle visual. Si la fotografía es demasiado pequeña, oscura o borrosa, se muestra un mensaje que explica cómo mejorarla. Estos controles ayudan a orientar la captura y a reducir entradas que dificultan la clasificación.</w:t>
      </w:r>
    </w:p>
    <w:p>
      <w:pPr>
        <w:pStyle w:val="Heading2"/>
      </w:pPr>
      <w:r>
        <w:t>Reglas de decisión</w:t>
      </w:r>
    </w:p>
    <w:p>
      <w:r>
        <w:rPr>
          <w:i w:val="0"/>
        </w:rPr>
        <w:t>El sistema utiliza una confianza mínima del 70 % y un margen mínimo de 15 puntos porcentuales entre las dos categorías con mayor puntuación. Estas reglas forman parte de la configuración de la aplicación. Si el resultado no cumple las condiciones de aceptación, se presenta como incierto.</w:t>
      </w:r>
    </w:p>
    <w:p>
      <w:r>
        <w:rPr>
          <w:i w:val="0"/>
        </w:rPr>
        <w:t>Cuando la categoría ganadora es imagen no válida, se solicita otra fotografía. Si se acepta una categoría saludable, se muestra riesgo visual bajo. Si se acepta una categoría asociada con dermatosis nodular contagiosa o queratoconjuntivitis infecciosa bovina, se muestra riesgo visual alto y una recomendación de valoración veterinaria.</w:t>
      </w:r>
    </w:p>
    <w:p>
      <w:r>
        <w:rPr>
          <w:i w:val="0"/>
        </w:rPr>
        <w:t>El semáforo incluye texto e iconos además del color. Así, el usuario puede reconocer el significado del resultado sin depender únicamente de distinguir los colores de la pantalla.</w:t>
      </w:r>
    </w:p>
    <w:p>
      <w:pPr>
        <w:pStyle w:val="Heading2"/>
      </w:pPr>
      <w:r>
        <w:t>Flujo de funcionamiento</w:t>
      </w:r>
    </w:p>
    <w:p>
      <w:r>
        <w:rPr>
          <w:i w:val="0"/>
        </w:rPr>
        <w:t>El recorrido de una fotografía comienza en la captura y termina en la presentación del resultado. La figura resume las operaciones principales de la aplicación.</w:t>
      </w:r>
    </w:p>
    <w:p>
      <w:pPr>
        <w:keepNext/>
      </w:pPr>
      <w:r>
        <w:rPr>
          <w:b/>
          <w:i w:val="0"/>
        </w:rPr>
        <w:t>Funcionamiento de la aplicación</w:t>
      </w:r>
    </w:p>
    <w:p>
      <w:pPr>
        <w:spacing w:after="160"/>
      </w:pPr>
      <w:r>
        <w:drawing>
          <wp:inline xmlns:a="http://schemas.openxmlformats.org/drawingml/2006/main" xmlns:pic="http://schemas.openxmlformats.org/drawingml/2006/picture">
            <wp:extent cx="5943600" cy="2245360"/>
            <wp:docPr id="1" name="Picture 1" descr="Recorrido de la imagen por captura, controles de entrada y calidad, modelo, decisión y presentación."/>
            <wp:cNvGraphicFramePr>
              <a:graphicFrameLocks noChangeAspect="1"/>
            </wp:cNvGraphicFramePr>
            <a:graphic>
              <a:graphicData uri="http://schemas.openxmlformats.org/drawingml/2006/picture">
                <pic:pic>
                  <pic:nvPicPr>
                    <pic:cNvPr id="0" name="flujo.png"/>
                    <pic:cNvPicPr/>
                  </pic:nvPicPr>
                  <pic:blipFill>
                    <a:blip r:embed="rId10"/>
                    <a:stretch>
                      <a:fillRect/>
                    </a:stretch>
                  </pic:blipFill>
                  <pic:spPr>
                    <a:xfrm>
                      <a:off x="0" y="0"/>
                      <a:ext cx="5943600" cy="2245360"/>
                    </a:xfrm>
                    <a:prstGeom prst="rect"/>
                  </pic:spPr>
                </pic:pic>
              </a:graphicData>
            </a:graphic>
          </wp:inline>
        </w:drawing>
      </w:r>
    </w:p>
    <w:p>
      <w:r>
        <w:rPr>
          <w:i w:val="0"/>
        </w:rPr>
        <w:t>La revisión del archivo y de su calidad puede detener el análisis y solicitar una nueva captura. Si la imagen cumple las condiciones, se procesa con el modelo y se aplican las reglas para presentar el resultado.</w:t>
      </w:r>
    </w:p>
    <w:p>
      <w:pPr>
        <w:pStyle w:val="Heading1"/>
      </w:pPr>
      <w:r>
        <w:t>Interfaz y uso</w:t>
      </w:r>
    </w:p>
    <w:p>
      <w:pPr>
        <w:pStyle w:val="Heading2"/>
      </w:pPr>
      <w:r>
        <w:t>Análisis de imágenes</w:t>
      </w:r>
    </w:p>
    <w:p>
      <w:r>
        <w:rPr>
          <w:i w:val="0"/>
        </w:rPr>
        <w:t>La pestaña Analizar imagen concentra la interacción principal. El usuario puede seleccionar una fotografía guardada o tomar una imagen con la cámara del dispositivo. Después de iniciar el análisis, la aplicación muestra el resultado junto a la fotografía.</w:t>
      </w:r>
    </w:p>
    <w:p>
      <w:r>
        <w:rPr>
          <w:i w:val="0"/>
        </w:rPr>
        <w:t>La pantalla presenta la clase identificada, el nivel de riesgo visual y una recomendación breve. También incluye las puntuaciones de todas las categorías para mostrar cómo se distribuyó la salida del modelo. Los mensajes de error o de calidad insuficiente permiten comprender por qué se solicita otra captura.</w:t>
      </w:r>
    </w:p>
    <w:p>
      <w:pPr>
        <w:pStyle w:val="Heading2"/>
      </w:pPr>
      <w:r>
        <w:t>Información del modelo</w:t>
      </w:r>
    </w:p>
    <w:p>
      <w:r>
        <w:rPr>
          <w:i w:val="0"/>
        </w:rPr>
        <w:t>La segunda pestaña presenta información general sobre el modelo: qué categorías reconoce, cómo se prepara la imagen y qué reglas se utilizan para interpretar las puntuaciones. Su finalidad es explicar el funcionamiento de la herramienta con información relacionada con la tarea.</w:t>
      </w:r>
    </w:p>
    <w:p>
      <w:r>
        <w:rPr>
          <w:i w:val="0"/>
        </w:rPr>
        <w:t>La interfaz utiliza textos en español y una presentación visual basada en tonos verdes y tierra. El resultado ocupa un lugar destacado para facilitar su lectura. Las recomendaciones se adaptan a la categoría obtenida y mantienen el enfoque de apoyo a la observación.</w:t>
      </w:r>
    </w:p>
    <w:p>
      <w:pPr>
        <w:pStyle w:val="Heading2"/>
      </w:pPr>
      <w:r>
        <w:t>Historial de sesión</w:t>
      </w:r>
    </w:p>
    <w:p>
      <w:r>
        <w:rPr>
          <w:i w:val="0"/>
        </w:rPr>
        <w:t>El historial permite consultar los resultados realizados durante la sesión. Se limita a 100 registros y dispone de una opción para borrarlos. Al cambiar el modelo, se limpian los resultados anteriores de la sesión para evitar que se mezclen observaciones generadas con versiones diferentes.</w:t>
      </w:r>
    </w:p>
    <w:p>
      <w:pPr>
        <w:pStyle w:val="Heading2"/>
      </w:pPr>
      <w:r>
        <w:t>Recomendaciones para tomar la fotografía</w:t>
      </w:r>
    </w:p>
    <w:p>
      <w:r>
        <w:rPr>
          <w:i w:val="0"/>
        </w:rPr>
        <w:t>Para observar la piel, conviene tomar una fotografía lateral con la zona de interés visible y buena iluminación. Para analizar un ojo, se utiliza un primer plano nítido del ojo completo, evitando reflejos fuertes y flash directo. En ambos casos, se analiza una región por fotografía.</w:t>
      </w:r>
    </w:p>
    <w:p>
      <w:r>
        <w:rPr>
          <w:i w:val="0"/>
        </w:rPr>
        <w:t>La cámara debe permanecer estable y el fondo debe interferir lo menos posible. Si el sistema solicita otra imagen, se puede mejorar la iluminación, acercar el encuadre o enfocar nuevamente. Estas acciones facilitan que la entrada corresponda a la tarea de clasificación.</w:t>
      </w:r>
    </w:p>
    <w:p>
      <w:pPr>
        <w:pStyle w:val="Heading1"/>
      </w:pPr>
      <w:r>
        <w:t>Pruebas y resultados del desarrollo</w:t>
      </w:r>
    </w:p>
    <w:p>
      <w:r>
        <w:rPr>
          <w:i w:val="0"/>
        </w:rPr>
        <w:t>El software se comprobó mediante 28 pruebas automatizadas satisfactorias. Estas verificaciones abarcan la carga del modelo, la salida de cinco categorías, las reglas de aceptación y rechazo, el tratamiento de las imágenes y la presentación de resultados en la interfaz.</w:t>
      </w:r>
    </w:p>
    <w:p>
      <w:r>
        <w:rPr>
          <w:i w:val="0"/>
        </w:rPr>
        <w:t>También se verificó la correspondencia entre las categorías oculares y los textos mostrados al usuario. Las pruebas de preparación de datos revisaron la separación reproducible, los conflictos de etiquetas y la detección de cambios en imágenes. Las pruebas de evaluación comprobaron la generación de métricas y gráficos con ejemplos controlados.</w:t>
      </w:r>
    </w:p>
    <w:p>
      <w:r>
        <w:rPr>
          <w:i w:val="0"/>
        </w:rPr>
        <w:t>En los controles de entrada se comprobó el rechazo de archivos que no son imágenes, de formatos no permitidos y de imágenes que superan los límites establecidos. También se verificó la eliminación de metadatos y la presentación de mensajes generales cuando ocurre un error interno.</w:t>
      </w:r>
    </w:p>
    <w:p>
      <w:r>
        <w:rPr>
          <w:i w:val="0"/>
        </w:rPr>
        <w:t>El resultado del desarrollo es una aplicación que integra el modelo y permite realizar el recorrido completo desde una imagen hasta una respuesta en pantalla. Las pruebas descritas comprueban el funcionamiento del software; su cantidad no representa un porcentaje de acierto del clasificador sobre fotografías de animales.</w:t>
      </w:r>
    </w:p>
    <w:p>
      <w:pPr>
        <w:pStyle w:val="Heading1"/>
      </w:pPr>
      <w:r>
        <w:t>Seguridad y tratamiento de imágenes</w:t>
      </w:r>
    </w:p>
    <w:p>
      <w:r>
        <w:rPr>
          <w:i w:val="0"/>
        </w:rPr>
        <w:t>La clasificación se realiza con TensorFlow en el equipo o servidor donde se ejecuta la aplicación. No se necesita una clave de un servicio externo de inteligencia artificial para analizar las fotografías. Cuando la web se utiliza desde otro dispositivo, la imagen se envía al servidor que aloja la aplicación para su procesamiento.</w:t>
      </w:r>
    </w:p>
    <w:p>
      <w:r>
        <w:rPr>
          <w:i w:val="0"/>
        </w:rPr>
        <w:t>Los archivos recibidos se someten a controles de formato, tamaño y resolución. La representación utilizada para mostrar la imagen se prepara sin sus metadatos. La aplicación web no guarda deliberadamente las fotografías subidas en una carpeta de almacenamiento permanente y el historial se mantiene dentro de la sesión.</w:t>
      </w:r>
    </w:p>
    <w:p>
      <w:r>
        <w:rPr>
          <w:i w:val="0"/>
        </w:rPr>
        <w:t>La configuración incluye protecciones de solicitudes del navegador y evita mostrar detalles internos de los errores. Además, se revisaron las bibliotecas utilizadas y se actualizaron componentes durante el desarrollo. Estas medidas forman parte del cuidado del software y de los archivos que procesa.</w:t>
      </w:r>
    </w:p>
    <w:p>
      <w:pPr>
        <w:pStyle w:val="Heading1"/>
      </w:pPr>
      <w:r>
        <w:t>Uso como aplicación web</w:t>
      </w:r>
    </w:p>
    <w:p>
      <w:r>
        <w:rPr>
          <w:i w:val="0"/>
        </w:rPr>
        <w:t>La solución ya funciona como una aplicación web porque se consulta mediante un navegador. En una ejecución local, el servidor está en la computadora donde se inicia el programa. En un alojamiento web, el servidor permite acceder desde otros dispositivos mediante una dirección de internet.</w:t>
      </w:r>
    </w:p>
    <w:p>
      <w:r>
        <w:rPr>
          <w:i w:val="0"/>
        </w:rPr>
        <w:t>Esta forma de uso facilita compartir la herramienta sin instalar el entorno de desarrollo en cada equipo del usuario. La interfaz sigue el mismo recorrido de carga, análisis y resultado. Para utilizar la cámara desde un teléfono, el navegador requiere los permisos correspondientes y una conexión segura.</w:t>
      </w:r>
    </w:p>
    <w:p>
      <w:r>
        <w:rPr>
          <w:i w:val="0"/>
        </w:rPr>
        <w:t>El proyecto también incorpora un modo opcional de cámara continua para una cámara conectada al equipo de ejecución. Este módulo analiza fotogramas y combina varias observaciones antes de generar una alerta. Su funcionamiento se diferencia de tomar una sola fotografía con la cámara del navegador.</w:t>
      </w:r>
    </w:p>
    <w:p>
      <w:pPr>
        <w:pStyle w:val="Heading1"/>
      </w:pPr>
      <w:r>
        <w:t>Conclusiones</w:t>
      </w:r>
    </w:p>
    <w:p>
      <w:r>
        <w:rPr>
          <w:i w:val="0"/>
        </w:rPr>
        <w:t>El proyecto integró un modelo de inteligencia artificial en una aplicación web para el análisis visual de piel y ojos bovinos. La herramienta reconoce cinco categorías y presenta sus resultados mediante una clase, puntuaciones, un semáforo de riesgo visual y una recomendación.</w:t>
      </w:r>
    </w:p>
    <w:p>
      <w:r>
        <w:rPr>
          <w:i w:val="0"/>
        </w:rPr>
        <w:t>La organización del programa en componentes facilita comprender el procesamiento de una imagen y mantener la aplicación. El uso de un procedimiento común de preparación permite que la interfaz y las herramientas de evaluación trabajen de forma coherente. La configuración de clases y mensajes también facilita adaptar la presentación cuando se actualiza el modelo.</w:t>
      </w:r>
    </w:p>
    <w:p>
      <w:r>
        <w:rPr>
          <w:i w:val="0"/>
        </w:rPr>
        <w:t>Los controles de calidad, el rechazo de imágenes no válidas y la respuesta de incertidumbre permiten gestionar distintas situaciones de uso. Las 28 pruebas satisfactorias aportan evidencia sobre los componentes y recorridos comprobados del software. El proyecto reúne conceptos de aprendizaje supervisado, clasificación de imágenes y desarrollo web en una solución académica que apoya la observación del ganado y conserva el papel de la valoración veterinaria.</w:t>
      </w:r>
    </w:p>
    <w:p>
      <w:r>
        <w:br w:type="page"/>
      </w:r>
    </w:p>
    <w:p>
      <w:pPr>
        <w:pStyle w:val="Heading1"/>
      </w:pPr>
      <w:r>
        <w:t>Referencias</w:t>
      </w:r>
    </w:p>
    <w:p>
      <w:pPr>
        <w:keepLines/>
        <w:spacing w:line="276" w:lineRule="auto" w:after="240"/>
        <w:ind w:left="720" w:hanging="720"/>
      </w:pPr>
      <w:r>
        <w:rPr>
          <w:i w:val="0"/>
        </w:rPr>
        <w:t xml:space="preserve">Angelos, J. A. (2024, abril). </w:t>
      </w:r>
      <w:r>
        <w:rPr>
          <w:i/>
        </w:rPr>
        <w:t>Infectious keratoconjunctivitis in cattle and small ruminants</w:t>
      </w:r>
      <w:r>
        <w:rPr>
          <w:i w:val="0"/>
        </w:rPr>
        <w:t>. MSD Veterinary Manual. https://www.msdvetmanual.com/eye-diseases-and-disorders/infectious-keratoconjunctivitis/infectious-keratoconjunctivitis-in-cattle-and-small-ruminants</w:t>
      </w:r>
    </w:p>
    <w:p>
      <w:pPr>
        <w:keepLines/>
        <w:spacing w:line="276" w:lineRule="auto" w:after="240"/>
        <w:ind w:left="720" w:hanging="720"/>
      </w:pPr>
      <w:r>
        <w:rPr>
          <w:i w:val="0"/>
        </w:rPr>
        <w:t xml:space="preserve">Howard, A. G., Zhu, M., Chen, B., Kalenichenko, D., Wang, W., Weyand, T., Andreetto, M., &amp; Adam, H. (2017). </w:t>
      </w:r>
      <w:r>
        <w:rPr>
          <w:i/>
        </w:rPr>
        <w:t>MobileNets: Efficient convolutional neural networks for mobile vision applications</w:t>
      </w:r>
      <w:r>
        <w:rPr>
          <w:i w:val="0"/>
        </w:rPr>
        <w:t>. arXiv. https://doi.org/10.48550/arXiv.1704.04861</w:t>
      </w:r>
    </w:p>
    <w:p>
      <w:pPr>
        <w:keepLines/>
        <w:spacing w:line="276" w:lineRule="auto" w:after="240"/>
        <w:ind w:left="720" w:hanging="720"/>
      </w:pPr>
      <w:r>
        <w:rPr>
          <w:i w:val="0"/>
        </w:rPr>
        <w:t xml:space="preserve">IBM. (s. f.). </w:t>
      </w:r>
      <w:r>
        <w:rPr>
          <w:i/>
        </w:rPr>
        <w:t>CRISP-DM help overview</w:t>
      </w:r>
      <w:r>
        <w:rPr>
          <w:i w:val="0"/>
        </w:rPr>
        <w:t>. IBM SPSS Modeler. https://www.ibm.com/docs/en/spss-modeler/18.6.0?topic=dm-crisp-help-overview</w:t>
      </w:r>
    </w:p>
    <w:p>
      <w:pPr>
        <w:keepLines/>
        <w:spacing w:line="276" w:lineRule="auto" w:after="240"/>
        <w:ind w:left="720" w:hanging="720"/>
      </w:pPr>
      <w:r>
        <w:rPr>
          <w:i w:val="0"/>
        </w:rPr>
        <w:t xml:space="preserve">TensorFlow. (2024a, 16 de agosto). </w:t>
      </w:r>
      <w:r>
        <w:rPr>
          <w:i/>
        </w:rPr>
        <w:t>Transfer learning and fine-tuning</w:t>
      </w:r>
      <w:r>
        <w:rPr>
          <w:i w:val="0"/>
        </w:rPr>
        <w:t>. https://www.tensorflow.org/tutorials/images/transfer_learning</w:t>
      </w:r>
    </w:p>
    <w:p>
      <w:pPr>
        <w:keepLines/>
        <w:spacing w:line="276" w:lineRule="auto" w:after="240"/>
        <w:ind w:left="720" w:hanging="720"/>
      </w:pPr>
      <w:r>
        <w:rPr>
          <w:i w:val="0"/>
        </w:rPr>
        <w:t xml:space="preserve">TensorFlow. (2024b, 23 de marzo). </w:t>
      </w:r>
      <w:r>
        <w:rPr>
          <w:i/>
        </w:rPr>
        <w:t>Using the SavedModel format</w:t>
      </w:r>
      <w:r>
        <w:rPr>
          <w:i w:val="0"/>
        </w:rPr>
        <w:t>. https://www.tensorflow.org/guide/saved_model</w:t>
      </w:r>
    </w:p>
    <w:p>
      <w:pPr>
        <w:keepLines/>
        <w:spacing w:line="276" w:lineRule="auto" w:after="240"/>
        <w:ind w:left="720" w:hanging="720"/>
      </w:pPr>
      <w:r>
        <w:rPr>
          <w:i w:val="0"/>
        </w:rPr>
        <w:t xml:space="preserve">World Organisation for Animal Health. (2026, 9 de julio). </w:t>
      </w:r>
      <w:r>
        <w:rPr>
          <w:i/>
        </w:rPr>
        <w:t>Lumpy skin disease</w:t>
      </w:r>
      <w:r>
        <w:rPr>
          <w:i w:val="0"/>
        </w:rPr>
        <w:t>. https://www.woah.org/en/disease/lumpy-skin-disease/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60" w:lineRule="auto"/>
      <w:ind w:firstLine="0"/>
      <w:jc w:val="left"/>
    </w:pPr>
    <w:rPr>
      <w:rFonts w:ascii="Times New Roman" w:hAnsi="Times New Roman" w:eastAsia="Times New Roman" w:cs="Times New Roman"/>
      <w:color w:val="000000"/>
      <w:sz w:val="24"/>
      <w:lang w:val="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76" w:lineRule="auto"/>
      <w:ind w:firstLine="0"/>
      <w:jc w:val="left"/>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76" w:lineRule="auto"/>
      <w:ind w:firstLine="0"/>
      <w:jc w:val="left"/>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76" w:lineRule="auto"/>
      <w:ind w:firstLine="0"/>
      <w:jc w:val="left"/>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rPr>
  </w:style>
  <w:style w:type="paragraph" w:styleId="Title">
    <w:name w:val="Title"/>
    <w:basedOn w:val="Normal"/>
    <w:next w:val="Normal"/>
    <w:link w:val="TitleChar"/>
    <w:uiPriority w:val="10"/>
    <w:qFormat/>
    <w:rsid w:val="00FC693F"/>
    <w:pPr>
      <w:keepNext/>
      <w:widowControl/>
      <w:spacing w:after="120" w:line="276" w:lineRule="auto" w:before="240"/>
      <w:ind w:firstLine="0"/>
      <w:contextualSpacing/>
      <w:jc w:val="center"/>
    </w:pPr>
    <w:rPr>
      <w:rFonts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themeTint="7F"/>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Aplicación web para el análisis de piel y ojos bovinos</dc:title>
  <dc:subject>Informe del proyecto de Inteligencia Artificial</dc:subject>
  <dc:creator>Cristian Alejandro Carvajal Luna Orozco</dc:creator>
  <cp:keywords/>
  <dc:description/>
  <cp:lastModifiedBy/>
  <cp:revision>1</cp:revision>
  <dcterms:created xsi:type="dcterms:W3CDTF">2026-10-16T12:00:00Z</dcterms:created>
  <dcterms:modified xsi:type="dcterms:W3CDTF">2026-10-16T12:00:00Z</dcterms:modified>
  <cp:category/>
</cp:coreProperties>
</file>