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Reporte Técnico</w:t>
      </w:r>
      <w:r w:rsidDel="00000000" w:rsidR="00000000" w:rsidRPr="00000000">
        <w:rPr>
          <w:rtl w:val="0"/>
        </w:rPr>
      </w:r>
    </w:p>
    <w:p w:rsidR="00000000" w:rsidDel="00000000" w:rsidP="00000000" w:rsidRDefault="00000000" w:rsidRPr="00000000" w14:paraId="00000003">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Instrumentación de Observabilidad con OpenTelemetry</w:t>
        <w:br w:type="textWrapping"/>
        <w:t xml:space="preserve">en una Arquitectura de Microservicios sobre AWS</w:t>
      </w:r>
      <w:r w:rsidDel="00000000" w:rsidR="00000000" w:rsidRPr="00000000">
        <w:rPr>
          <w:rtl w:val="0"/>
        </w:rPr>
      </w:r>
    </w:p>
    <w:p w:rsidR="00000000" w:rsidDel="00000000" w:rsidP="00000000" w:rsidRDefault="00000000" w:rsidRPr="00000000" w14:paraId="00000004">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Caso de estudio: Emergency Ops — Sistema de Despacho de Ambulancias</w:t>
      </w:r>
      <w:r w:rsidDel="00000000" w:rsidR="00000000" w:rsidRPr="00000000">
        <w:rPr>
          <w:rtl w:val="0"/>
        </w:rPr>
      </w:r>
    </w:p>
    <w:p w:rsidR="00000000" w:rsidDel="00000000" w:rsidP="00000000" w:rsidRDefault="00000000" w:rsidRPr="00000000" w14:paraId="00000006">
      <w:pPr>
        <w:spacing w:before="1600" w:line="480" w:lineRule="auto"/>
        <w:rPr>
          <w:rFonts w:ascii="Times New Roman" w:cs="Times New Roman" w:eastAsia="Times New Roman" w:hAnsi="Times New Roman"/>
          <w:sz w:val="24"/>
          <w:szCs w:val="24"/>
        </w:rPr>
      </w:pPr>
      <w:r w:rsidDel="00000000" w:rsidR="00000000" w:rsidRPr="00000000">
        <w:rPr>
          <w:rtl w:val="0"/>
        </w:rPr>
      </w:r>
    </w:p>
    <w:tbl>
      <w:tblPr>
        <w:tblStyle w:val="Table1"/>
        <w:tblW w:w="9406.0" w:type="dxa"/>
        <w:jc w:val="center"/>
        <w:tblLayout w:type="fixed"/>
        <w:tblLook w:val="040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07">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Fecha</w:t>
            </w:r>
            <w:r w:rsidDel="00000000" w:rsidR="00000000" w:rsidRPr="00000000">
              <w:rPr>
                <w:rtl w:val="0"/>
              </w:rPr>
            </w:r>
          </w:p>
        </w:tc>
        <w:tc>
          <w:tcPr/>
          <w:p w:rsidR="00000000" w:rsidDel="00000000" w:rsidP="00000000" w:rsidRDefault="00000000" w:rsidRPr="00000000" w14:paraId="000000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16/08/2026</w:t>
            </w:r>
          </w:p>
        </w:tc>
      </w:tr>
      <w:tr>
        <w:trPr>
          <w:cantSplit w:val="0"/>
          <w:tblHeader w:val="0"/>
        </w:trPr>
        <w:tc>
          <w:tcPr/>
          <w:p w:rsidR="00000000" w:rsidDel="00000000" w:rsidP="00000000" w:rsidRDefault="00000000" w:rsidRPr="00000000" w14:paraId="00000009">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Alcance</w:t>
            </w:r>
            <w:r w:rsidDel="00000000" w:rsidR="00000000" w:rsidRPr="00000000">
              <w:rPr>
                <w:rtl w:val="0"/>
              </w:rPr>
            </w:r>
          </w:p>
        </w:tc>
        <w:tc>
          <w:tcPr/>
          <w:p w:rsidR="00000000" w:rsidDel="00000000" w:rsidP="00000000" w:rsidRDefault="00000000" w:rsidRPr="00000000" w14:paraId="0000000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Fases 1–4: instrumentación, Collector, backends, análisis de overhead</w:t>
            </w:r>
          </w:p>
        </w:tc>
      </w:tr>
      <w:tr>
        <w:trPr>
          <w:cantSplit w:val="0"/>
          <w:tblHeader w:val="0"/>
        </w:trPr>
        <w:tc>
          <w:tcPr/>
          <w:p w:rsidR="00000000" w:rsidDel="00000000" w:rsidP="00000000" w:rsidRDefault="00000000" w:rsidRPr="00000000" w14:paraId="0000000B">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Cuenta AWS / Región</w:t>
            </w:r>
            <w:r w:rsidDel="00000000" w:rsidR="00000000" w:rsidRPr="00000000">
              <w:rPr>
                <w:rtl w:val="0"/>
              </w:rPr>
            </w:r>
          </w:p>
        </w:tc>
        <w:tc>
          <w:tcPr/>
          <w:p w:rsidR="00000000" w:rsidDel="00000000" w:rsidP="00000000" w:rsidRDefault="00000000" w:rsidRPr="00000000" w14:paraId="0000000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149511939303 · us-east-1</w:t>
            </w:r>
          </w:p>
        </w:tc>
      </w:tr>
      <w:tr>
        <w:trPr>
          <w:cantSplit w:val="0"/>
          <w:tblHeader w:val="0"/>
        </w:trPr>
        <w:tc>
          <w:tcPr/>
          <w:p w:rsidR="00000000" w:rsidDel="00000000" w:rsidP="00000000" w:rsidRDefault="00000000" w:rsidRPr="00000000" w14:paraId="0000000D">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Repositorio de código</w:t>
            </w:r>
            <w:r w:rsidDel="00000000" w:rsidR="00000000" w:rsidRPr="00000000">
              <w:rPr>
                <w:rtl w:val="0"/>
              </w:rPr>
            </w:r>
          </w:p>
        </w:tc>
        <w:tc>
          <w:tcPr/>
          <w:p w:rsidR="00000000" w:rsidDel="00000000" w:rsidP="00000000" w:rsidRDefault="00000000" w:rsidRPr="00000000" w14:paraId="000000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github.com/cristiancave/emergency-ops</w:t>
            </w:r>
          </w:p>
        </w:tc>
      </w:tr>
      <w:tr>
        <w:trPr>
          <w:cantSplit w:val="0"/>
          <w:tblHeader w:val="0"/>
        </w:trPr>
        <w:tc>
          <w:tcPr/>
          <w:p w:rsidR="00000000" w:rsidDel="00000000" w:rsidP="00000000" w:rsidRDefault="00000000" w:rsidRPr="00000000" w14:paraId="0000000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Repositorio de infraestructura</w:t>
            </w:r>
            <w:r w:rsidDel="00000000" w:rsidR="00000000" w:rsidRPr="00000000">
              <w:rPr>
                <w:rtl w:val="0"/>
              </w:rPr>
            </w:r>
          </w:p>
        </w:tc>
        <w:tc>
          <w:tcPr/>
          <w:p w:rsidR="00000000" w:rsidDel="00000000" w:rsidP="00000000" w:rsidRDefault="00000000" w:rsidRPr="00000000" w14:paraId="0000001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github.com/cristiancave/emergency-ops-infrastructure</w:t>
            </w:r>
          </w:p>
        </w:tc>
      </w:tr>
      <w:tr>
        <w:trPr>
          <w:cantSplit w:val="0"/>
          <w:trHeight w:val="1212.9296874999998" w:hRule="atLeast"/>
          <w:tblHeader w:val="0"/>
        </w:trPr>
        <w:tc>
          <w:tcPr/>
          <w:p w:rsidR="00000000" w:rsidDel="00000000" w:rsidP="00000000" w:rsidRDefault="00000000" w:rsidRPr="00000000" w14:paraId="00000011">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Stack</w:t>
            </w:r>
            <w:r w:rsidDel="00000000" w:rsidR="00000000" w:rsidRPr="00000000">
              <w:rPr>
                <w:rtl w:val="0"/>
              </w:rPr>
            </w:r>
          </w:p>
        </w:tc>
        <w:tc>
          <w:tcPr/>
          <w:p w:rsidR="00000000" w:rsidDel="00000000" w:rsidP="00000000" w:rsidRDefault="00000000" w:rsidRPr="00000000" w14:paraId="0000001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 · OpenTelemetry · ECS Fargate · Terraform · GitHub Actions (OIDC)</w:t>
            </w:r>
          </w:p>
          <w:p w:rsidR="00000000" w:rsidDel="00000000" w:rsidP="00000000" w:rsidRDefault="00000000" w:rsidRPr="00000000" w14:paraId="00000013">
            <w:pPr>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rHeight w:val="1212.9296874999998" w:hRule="atLeast"/>
          <w:tblHeader w:val="0"/>
        </w:trPr>
        <w:tc>
          <w:tcPr/>
          <w:p w:rsidR="00000000" w:rsidDel="00000000" w:rsidP="00000000" w:rsidRDefault="00000000" w:rsidRPr="00000000" w14:paraId="00000014">
            <w:pPr>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Presentado por</w:t>
            </w:r>
          </w:p>
        </w:tc>
        <w:tc>
          <w:tcPr/>
          <w:p w:rsidR="00000000" w:rsidDel="00000000" w:rsidP="00000000" w:rsidRDefault="00000000" w:rsidRPr="00000000" w14:paraId="00000015">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Cristian Alonso Cardona Vega</w:t>
            </w:r>
          </w:p>
          <w:p w:rsidR="00000000" w:rsidDel="00000000" w:rsidP="00000000" w:rsidRDefault="00000000" w:rsidRPr="00000000" w14:paraId="0000001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David Gonzalez Alzate </w:t>
            </w:r>
          </w:p>
        </w:tc>
      </w:tr>
    </w:tbl>
    <w:p w:rsidR="00000000" w:rsidDel="00000000" w:rsidP="00000000" w:rsidRDefault="00000000" w:rsidRPr="00000000" w14:paraId="00000017">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Índice</w:t>
      </w:r>
    </w:p>
    <w:p w:rsidR="00000000" w:rsidDel="00000000" w:rsidP="00000000" w:rsidRDefault="00000000" w:rsidRPr="00000000" w14:paraId="0000001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Resumen ejecutivo</w:t>
      </w:r>
      <w:r w:rsidDel="00000000" w:rsidR="00000000" w:rsidRPr="00000000">
        <w:rPr>
          <w:rtl w:val="0"/>
        </w:rPr>
      </w:r>
    </w:p>
    <w:p w:rsidR="00000000" w:rsidDel="00000000" w:rsidP="00000000" w:rsidRDefault="00000000" w:rsidRPr="00000000" w14:paraId="0000001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Introducción y objetivos</w:t>
      </w:r>
      <w:r w:rsidDel="00000000" w:rsidR="00000000" w:rsidRPr="00000000">
        <w:rPr>
          <w:rtl w:val="0"/>
        </w:rPr>
      </w:r>
    </w:p>
    <w:p w:rsidR="00000000" w:rsidDel="00000000" w:rsidP="00000000" w:rsidRDefault="00000000" w:rsidRPr="00000000" w14:paraId="0000001A">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Arquitectura del sistema</w:t>
      </w:r>
      <w:r w:rsidDel="00000000" w:rsidR="00000000" w:rsidRPr="00000000">
        <w:rPr>
          <w:rtl w:val="0"/>
        </w:rPr>
      </w:r>
    </w:p>
    <w:p w:rsidR="00000000" w:rsidDel="00000000" w:rsidP="00000000" w:rsidRDefault="00000000" w:rsidRPr="00000000" w14:paraId="0000001B">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3.1 Componentes principales</w:t>
      </w:r>
    </w:p>
    <w:p w:rsidR="00000000" w:rsidDel="00000000" w:rsidP="00000000" w:rsidRDefault="00000000" w:rsidRPr="00000000" w14:paraId="0000001C">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3.2 Flujo de una petición</w:t>
      </w:r>
    </w:p>
    <w:p w:rsidR="00000000" w:rsidDel="00000000" w:rsidP="00000000" w:rsidRDefault="00000000" w:rsidRPr="00000000" w14:paraId="0000001D">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3.3 Infraestructura en AWS</w:t>
      </w:r>
    </w:p>
    <w:p w:rsidR="00000000" w:rsidDel="00000000" w:rsidP="00000000" w:rsidRDefault="00000000" w:rsidRPr="00000000" w14:paraId="0000001E">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Decisiones de diseño</w:t>
      </w:r>
      <w:r w:rsidDel="00000000" w:rsidR="00000000" w:rsidRPr="00000000">
        <w:rPr>
          <w:rtl w:val="0"/>
        </w:rPr>
      </w:r>
    </w:p>
    <w:p w:rsidR="00000000" w:rsidDel="00000000" w:rsidP="00000000" w:rsidRDefault="00000000" w:rsidRPr="00000000" w14:paraId="0000001F">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4.1 Persistencia: RDS PostgreSQL administrado</w:t>
      </w:r>
    </w:p>
    <w:p w:rsidR="00000000" w:rsidDel="00000000" w:rsidP="00000000" w:rsidRDefault="00000000" w:rsidRPr="00000000" w14:paraId="00000020">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4.2 Backend de trazas: AWS X-Ray</w:t>
      </w:r>
    </w:p>
    <w:p w:rsidR="00000000" w:rsidDel="00000000" w:rsidP="00000000" w:rsidRDefault="00000000" w:rsidRPr="00000000" w14:paraId="00000021">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4.3 Métricas: Prometheus + Grafana self-hosted</w:t>
      </w:r>
    </w:p>
    <w:p w:rsidR="00000000" w:rsidDel="00000000" w:rsidP="00000000" w:rsidRDefault="00000000" w:rsidRPr="00000000" w14:paraId="00000022">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4.4 Entrega de configuración al OTel Collector</w:t>
      </w:r>
    </w:p>
    <w:p w:rsidR="00000000" w:rsidDel="00000000" w:rsidP="00000000" w:rsidRDefault="00000000" w:rsidRPr="00000000" w14:paraId="00000023">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4.5 Autenticación CI/CD: GitHub OIDC sin credenciales estáticas</w:t>
      </w:r>
    </w:p>
    <w:p w:rsidR="00000000" w:rsidDel="00000000" w:rsidP="00000000" w:rsidRDefault="00000000" w:rsidRPr="00000000" w14:paraId="00000024">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4.6 Estructura del monorepo de Go (go.work)</w:t>
      </w:r>
    </w:p>
    <w:p w:rsidR="00000000" w:rsidDel="00000000" w:rsidP="00000000" w:rsidRDefault="00000000" w:rsidRPr="00000000" w14:paraId="00000025">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4.7 Logs estructurados vs. señal OTLP de logs</w:t>
      </w:r>
    </w:p>
    <w:p w:rsidR="00000000" w:rsidDel="00000000" w:rsidP="00000000" w:rsidRDefault="00000000" w:rsidRPr="00000000" w14:paraId="00000026">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Implementación de observabilidad (Fases 1–3)</w:t>
      </w:r>
      <w:r w:rsidDel="00000000" w:rsidR="00000000" w:rsidRPr="00000000">
        <w:rPr>
          <w:rtl w:val="0"/>
        </w:rPr>
      </w:r>
    </w:p>
    <w:p w:rsidR="00000000" w:rsidDel="00000000" w:rsidP="00000000" w:rsidRDefault="00000000" w:rsidRPr="00000000" w14:paraId="00000027">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5.1 Trazas distribuidas</w:t>
      </w:r>
    </w:p>
    <w:p w:rsidR="00000000" w:rsidDel="00000000" w:rsidP="00000000" w:rsidRDefault="00000000" w:rsidRPr="00000000" w14:paraId="0000002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5.2 Métricas</w:t>
      </w:r>
    </w:p>
    <w:p w:rsidR="00000000" w:rsidDel="00000000" w:rsidP="00000000" w:rsidRDefault="00000000" w:rsidRPr="00000000" w14:paraId="0000002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5.3 Logs correlacionados</w:t>
      </w:r>
    </w:p>
    <w:p w:rsidR="00000000" w:rsidDel="00000000" w:rsidP="00000000" w:rsidRDefault="00000000" w:rsidRPr="00000000" w14:paraId="0000002A">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5.4 Visualización</w:t>
      </w:r>
    </w:p>
    <w:p w:rsidR="00000000" w:rsidDel="00000000" w:rsidP="00000000" w:rsidRDefault="00000000" w:rsidRPr="00000000" w14:paraId="0000002B">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Análisis de overhead (Fase 4)</w:t>
      </w:r>
      <w:r w:rsidDel="00000000" w:rsidR="00000000" w:rsidRPr="00000000">
        <w:rPr>
          <w:rtl w:val="0"/>
        </w:rPr>
      </w:r>
    </w:p>
    <w:p w:rsidR="00000000" w:rsidDel="00000000" w:rsidP="00000000" w:rsidRDefault="00000000" w:rsidRPr="00000000" w14:paraId="0000002C">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6.1 Metodología</w:t>
      </w:r>
    </w:p>
    <w:p w:rsidR="00000000" w:rsidDel="00000000" w:rsidP="00000000" w:rsidRDefault="00000000" w:rsidRPr="00000000" w14:paraId="0000002D">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6.2 Resultados</w:t>
      </w:r>
    </w:p>
    <w:p w:rsidR="00000000" w:rsidDel="00000000" w:rsidP="00000000" w:rsidRDefault="00000000" w:rsidRPr="00000000" w14:paraId="0000002E">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6.3 Interpretación</w:t>
      </w:r>
    </w:p>
    <w:p w:rsidR="00000000" w:rsidDel="00000000" w:rsidP="00000000" w:rsidRDefault="00000000" w:rsidRPr="00000000" w14:paraId="0000002F">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Limitaciones conocidas</w:t>
      </w:r>
      <w:r w:rsidDel="00000000" w:rsidR="00000000" w:rsidRPr="00000000">
        <w:rPr>
          <w:rtl w:val="0"/>
        </w:rPr>
      </w:r>
    </w:p>
    <w:p w:rsidR="00000000" w:rsidDel="00000000" w:rsidP="00000000" w:rsidRDefault="00000000" w:rsidRPr="00000000" w14:paraId="00000030">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8. Conclusiones</w:t>
      </w:r>
      <w:r w:rsidDel="00000000" w:rsidR="00000000" w:rsidRPr="00000000">
        <w:rPr>
          <w:rtl w:val="0"/>
        </w:rPr>
      </w:r>
    </w:p>
    <w:p w:rsidR="00000000" w:rsidDel="00000000" w:rsidP="00000000" w:rsidRDefault="00000000" w:rsidRPr="00000000" w14:paraId="00000031">
      <w:pPr>
        <w:spacing w:after="4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 Referencias</w:t>
      </w:r>
    </w:p>
    <w:p w:rsidR="00000000" w:rsidDel="00000000" w:rsidP="00000000" w:rsidRDefault="00000000" w:rsidRPr="00000000" w14:paraId="00000032">
      <w:pPr>
        <w:spacing w:after="4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 Anexo — Despliegue multi-cloud: segundo OTel Collector en GCP</w:t>
      </w:r>
    </w:p>
    <w:p w:rsidR="00000000" w:rsidDel="00000000" w:rsidP="00000000" w:rsidRDefault="00000000" w:rsidRPr="00000000" w14:paraId="00000033">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1. Resumen ejecutivo</w:t>
      </w:r>
    </w:p>
    <w:p w:rsidR="00000000" w:rsidDel="00000000" w:rsidP="00000000" w:rsidRDefault="00000000" w:rsidRPr="00000000" w14:paraId="00000035">
      <w:pPr>
        <w:spacing w:line="480" w:lineRule="auto"/>
        <w:rPr>
          <w:rFonts w:ascii="Times New Roman" w:cs="Times New Roman" w:eastAsia="Times New Roman" w:hAnsi="Times New Roman"/>
          <w:sz w:val="24"/>
          <w:szCs w:val="24"/>
        </w:rPr>
      </w:pPr>
      <w:sdt>
        <w:sdtPr>
          <w:id w:val="-1673488426"/>
          <w:tag w:val="goog_rdk_0"/>
        </w:sdtPr>
        <w:sdtContent>
          <w:r w:rsidDel="00000000" w:rsidR="00000000" w:rsidRPr="00000000">
            <w:rPr>
              <w:rFonts w:ascii="Cardo" w:cs="Cardo" w:eastAsia="Cardo" w:hAnsi="Cardo"/>
              <w:sz w:val="24"/>
              <w:szCs w:val="24"/>
              <w:rtl w:val="0"/>
            </w:rPr>
            <w:t xml:space="preserve">Este reporte documenta la instrumentación de observabilidad end-to-end de un sistema de microservicios (dispatch-service → triage-service) desplegado en AWS, cubriendo las cuatro fases del proyecto: instrumentación con OpenTelemetry SDK, despliegue de un OTel Collector, configuración de backends de trazas/métricas/logs con su visualización, y un análisis cuantitativo del overhead que introduce la instrumentación.</w:t>
          </w:r>
        </w:sdtContent>
      </w:sdt>
    </w:p>
    <w:p w:rsidR="00000000" w:rsidDel="00000000" w:rsidP="00000000" w:rsidRDefault="00000000" w:rsidRPr="00000000" w14:paraId="0000003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resultado es un sistema donde cada request HTTP entre servicios, cada query a base de datos, y la lógica de negocio crítica generan una traza distribuida completa, correlacionada con métricas Prometheus y logs estructurados JSON — todo desplegado de forma reproducible con Terraform y un pipeline de CI/CD que no depende de credenciales AWS estáticas.</w:t>
      </w:r>
    </w:p>
    <w:p w:rsidR="00000000" w:rsidDel="00000000" w:rsidP="00000000" w:rsidRDefault="00000000" w:rsidRPr="00000000" w14:paraId="0000003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hallazgo principal del análisis de overhead (Fase 4) es que, con el pipeline de exportación funcionando correctamente, la instrumentación completa de OpenTelemetry (auto-instrumentación HTTP y DB, spans custom, logs correlacionados) introduce un overhead de un solo dígito porcentual en latencia p99 (~6%) y en CPU (~2.5%), con un costo de memoria de pocos MiB en términos absolutos — un costo que no justifica cambiar el dimensionamiento de los servicios en producción.</w:t>
      </w:r>
    </w:p>
    <w:p w:rsidR="00000000" w:rsidDel="00000000" w:rsidP="00000000" w:rsidRDefault="00000000" w:rsidRPr="00000000" w14:paraId="00000038">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 Introducción y objetivos</w:t>
      </w:r>
    </w:p>
    <w:p w:rsidR="00000000" w:rsidDel="00000000" w:rsidP="00000000" w:rsidRDefault="00000000" w:rsidRPr="00000000" w14:paraId="0000003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Emergency Ops es un sistema de despacho de ambulancias compuesto por dos microservicios: dispatch-service, que recibe reportes de emergencia y asigna la ambulancia disponible más cercana, y triage-service, que clasifica la prioridad médica del reporte (RED/YELLOW/GREEN) según edad del paciente y síntomas reportados. dispatch-service depende de triage-service vía HTTP, y triage-service persiste reportes y clasificaciones en una base de datos relacional — la arquitectura mínima representativa de un sistema real que necesita observabilidad: dependencia entre servicios + acceso a datos.</w:t>
      </w:r>
    </w:p>
    <w:p w:rsidR="00000000" w:rsidDel="00000000" w:rsidP="00000000" w:rsidRDefault="00000000" w:rsidRPr="00000000" w14:paraId="0000003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objetivos concretos de este trabajo fueron:</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Instrumentar ambos servicios con el SDK de OpenTelemetry, cubriendo los tres pilares de observabilidad (trazas, métricas, logs) sin depender de agentes externos.</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Desplegar un OTel Collector como punto central de recolección, con procesamiento (batching, control de memoria, enriquecimiento de atributos) antes de exportar a los backends finales.</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Configurar backends de visualización — trazas distribuidas y un dashboard de métricas con los 4 Service Level Indicators (SLIs) clásicos más CPU y salud del propio Collector.</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Cuantificar el overhead real que introduce la instrumentación, en vez de asumirlo.</w:t>
      </w:r>
    </w:p>
    <w:p w:rsidR="00000000" w:rsidDel="00000000" w:rsidP="00000000" w:rsidRDefault="00000000" w:rsidRPr="00000000" w14:paraId="0000003F">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 Arquitectura del sistema</w:t>
      </w:r>
    </w:p>
    <w:p w:rsidR="00000000" w:rsidDel="00000000" w:rsidP="00000000" w:rsidRDefault="00000000" w:rsidRPr="00000000" w14:paraId="00000040">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3.1 Componentes principales</w:t>
      </w:r>
    </w:p>
    <w:tbl>
      <w:tblPr>
        <w:tblStyle w:val="Table2"/>
        <w:tblW w:w="9405.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35"/>
        <w:gridCol w:w="3135"/>
        <w:gridCol w:w="3135"/>
        <w:tblGridChange w:id="0">
          <w:tblGrid>
            <w:gridCol w:w="3135"/>
            <w:gridCol w:w="3135"/>
            <w:gridCol w:w="3135"/>
          </w:tblGrid>
        </w:tblGridChange>
      </w:tblGrid>
      <w:tr>
        <w:trPr>
          <w:cantSplit w:val="0"/>
          <w:tblHeader w:val="0"/>
        </w:trPr>
        <w:tc>
          <w:tcPr>
            <w:tcBorders>
              <w:top w:color="000000" w:space="0" w:sz="8" w:val="single"/>
              <w:left w:color="ffffff" w:space="0" w:sz="8" w:val="single"/>
              <w:bottom w:color="000000" w:space="0" w:sz="8" w:val="single"/>
              <w:right w:color="ffffff" w:space="0" w:sz="8" w:val="single"/>
            </w:tcBorders>
          </w:tcPr>
          <w:p w:rsidR="00000000" w:rsidDel="00000000" w:rsidP="00000000" w:rsidRDefault="00000000" w:rsidRPr="00000000" w14:paraId="0000004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Componente</w:t>
            </w:r>
          </w:p>
        </w:tc>
        <w:tc>
          <w:tcPr>
            <w:tcBorders>
              <w:top w:color="000000" w:space="0" w:sz="8" w:val="single"/>
              <w:left w:color="ffffff" w:space="0" w:sz="8" w:val="single"/>
              <w:bottom w:color="000000" w:space="0" w:sz="8" w:val="single"/>
              <w:right w:color="ffffff" w:space="0" w:sz="8" w:val="single"/>
            </w:tcBorders>
            <w:shd w:fill="ffffff" w:val="clear"/>
          </w:tcPr>
          <w:p w:rsidR="00000000" w:rsidDel="00000000" w:rsidP="00000000" w:rsidRDefault="00000000" w:rsidRPr="00000000" w14:paraId="0000004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w:t>
            </w:r>
          </w:p>
        </w:tc>
        <w:tc>
          <w:tcPr>
            <w:tcBorders>
              <w:top w:color="000000" w:space="0" w:sz="8" w:val="single"/>
              <w:left w:color="ffffff" w:space="0" w:sz="8" w:val="single"/>
              <w:bottom w:color="000000" w:space="0" w:sz="8" w:val="single"/>
              <w:right w:color="ffffff" w:space="0" w:sz="8" w:val="single"/>
            </w:tcBorders>
            <w:shd w:fill="ffffff" w:val="clear"/>
          </w:tcPr>
          <w:p w:rsidR="00000000" w:rsidDel="00000000" w:rsidP="00000000" w:rsidRDefault="00000000" w:rsidRPr="00000000" w14:paraId="0000004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w:t>
            </w:r>
          </w:p>
        </w:tc>
      </w:tr>
      <w:tr>
        <w:trPr>
          <w:cantSplit w:val="0"/>
          <w:tblHeader w:val="0"/>
        </w:trPr>
        <w:tc>
          <w:tcPr>
            <w:tcBorders>
              <w:top w:color="000000"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4">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dispatch-service</w:t>
            </w:r>
          </w:p>
        </w:tc>
        <w:tc>
          <w:tcPr>
            <w:tcBorders>
              <w:top w:color="000000"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5">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 · ECS Fargate</w:t>
            </w:r>
          </w:p>
        </w:tc>
        <w:tc>
          <w:tcPr>
            <w:tcBorders>
              <w:top w:color="000000"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6">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Recibe emergencias, clasifica vía triage, asigna ambulancia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7">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triage-service</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 · ECS Fargate</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Clasifica prioridad médica, persiste en PostgreSQL</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A">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RDS PostgreSQL</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B">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RDS (db.t4g.micro)</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C">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Persistencia de reportes y clasificaciones de triage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D">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OTel Collector</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E">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ADOT (aws-otel-collector) · ECS Fargate</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4F">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Recibe OTLP, procesa, exporta a X-Ray y Prometheus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0">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Prometheus</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1">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 Fargate</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2">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Scrapea métricas de dispatch, triage y el Collector</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3">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Grafana</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4">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ECS Fargate</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5">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de SLIs, datasources Prometheus + CloudWatch</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6">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X-Ray</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7">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administrado</w:t>
            </w:r>
          </w:p>
        </w:tc>
        <w:tc>
          <w:tcPr>
            <w:tcBorders>
              <w:top w:color="ffffff" w:space="0" w:sz="8" w:val="single"/>
              <w:left w:color="ffffff" w:space="0" w:sz="8" w:val="single"/>
              <w:bottom w:color="ffffff" w:space="0" w:sz="8" w:val="single"/>
              <w:right w:color="ffffff" w:space="0" w:sz="8" w:val="single"/>
            </w:tcBorders>
            <w:shd w:fill="ffffff" w:val="clear"/>
          </w:tcPr>
          <w:p w:rsidR="00000000" w:rsidDel="00000000" w:rsidP="00000000" w:rsidRDefault="00000000" w:rsidRPr="00000000" w14:paraId="0000005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de trazas distribuidas</w:t>
            </w:r>
          </w:p>
        </w:tc>
      </w:tr>
      <w:tr>
        <w:trPr>
          <w:cantSplit w:val="0"/>
          <w:tblHeader w:val="0"/>
        </w:trPr>
        <w:tc>
          <w:tcPr>
            <w:tcBorders>
              <w:top w:color="ffffff" w:space="0" w:sz="8" w:val="single"/>
              <w:left w:color="ffffff" w:space="0" w:sz="8" w:val="single"/>
              <w:bottom w:color="000000" w:space="0" w:sz="8" w:val="single"/>
              <w:right w:color="ffffff" w:space="0" w:sz="8" w:val="single"/>
            </w:tcBorders>
            <w:shd w:fill="ffffff" w:val="clear"/>
          </w:tcPr>
          <w:p w:rsidR="00000000" w:rsidDel="00000000" w:rsidP="00000000" w:rsidRDefault="00000000" w:rsidRPr="00000000" w14:paraId="0000005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 Load Balancer</w:t>
            </w:r>
          </w:p>
        </w:tc>
        <w:tc>
          <w:tcPr>
            <w:tcBorders>
              <w:top w:color="ffffff" w:space="0" w:sz="8" w:val="single"/>
              <w:left w:color="ffffff" w:space="0" w:sz="8" w:val="single"/>
              <w:bottom w:color="000000" w:space="0" w:sz="8" w:val="single"/>
              <w:right w:color="ffffff" w:space="0" w:sz="8" w:val="single"/>
            </w:tcBorders>
            <w:shd w:fill="ffffff" w:val="clear"/>
          </w:tcPr>
          <w:p w:rsidR="00000000" w:rsidDel="00000000" w:rsidP="00000000" w:rsidRDefault="00000000" w:rsidRPr="00000000" w14:paraId="0000005A">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AWS ALB</w:t>
            </w:r>
          </w:p>
        </w:tc>
        <w:tc>
          <w:tcPr>
            <w:tcBorders>
              <w:top w:color="ffffff" w:space="0" w:sz="8" w:val="single"/>
              <w:left w:color="ffffff" w:space="0" w:sz="8" w:val="single"/>
              <w:bottom w:color="000000" w:space="0" w:sz="8" w:val="single"/>
              <w:right w:color="ffffff" w:space="0" w:sz="8" w:val="single"/>
            </w:tcBorders>
            <w:shd w:fill="ffffff" w:val="clear"/>
          </w:tcPr>
          <w:p w:rsidR="00000000" w:rsidDel="00000000" w:rsidP="00000000" w:rsidRDefault="00000000" w:rsidRPr="00000000" w14:paraId="0000005B">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Enrutamiento por path (/dispatch*, /triage*) y puerto (Grafana :3000)</w:t>
            </w:r>
          </w:p>
        </w:tc>
      </w:tr>
    </w:tbl>
    <w:p w:rsidR="00000000" w:rsidDel="00000000" w:rsidP="00000000" w:rsidRDefault="00000000" w:rsidRPr="00000000" w14:paraId="0000005C">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3.2 Flujo de una petición</w:t>
      </w:r>
    </w:p>
    <w:p w:rsidR="00000000" w:rsidDel="00000000" w:rsidP="00000000" w:rsidRDefault="00000000" w:rsidRPr="00000000" w14:paraId="0000005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POST /dispatch entra por el ALB, llega a dispatch-service, que abre un span raíz (vía otelhttp), ejecuta el span custom findBestAmbulance, y llama a triage-service por HTTP con el cliente instrumentado de pkg/httpclient — el header traceparent propaga el contexto de traza W3C. triage-service continúa la misma traza: abre su propio span de servidor, ejecuta el span custom calculatePriority, y persiste en PostgreSQL a través de un driver envuelto con otelsql, generando spans hijos por cada query. Todos los spans se exportan por OTLP/gRPC al Collector, que los envía a X-Ray. En paralelo, cada línea de log de la request lleva el mismo trace_id/span_id, permitiendo pivotear entre logs y trazas.</w:t>
      </w:r>
    </w:p>
    <w:p w:rsidR="00000000" w:rsidDel="00000000" w:rsidP="00000000" w:rsidRDefault="00000000" w:rsidRPr="00000000" w14:paraId="0000005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Pr>
        <w:drawing>
          <wp:inline distB="114300" distT="114300" distL="114300" distR="114300">
            <wp:extent cx="5943600" cy="5118100"/>
            <wp:effectExtent b="0" l="0" r="0" t="0"/>
            <wp:docPr id="2022769759"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3.3 Infraestructura en AWS</w:t>
      </w:r>
    </w:p>
    <w:p w:rsidR="00000000" w:rsidDel="00000000" w:rsidP="00000000" w:rsidRDefault="00000000" w:rsidRPr="00000000" w14:paraId="0000006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la infraestructura está definida como código en Terraform (repo emergency-ops-infrastructure), con el estado remoto en S3 y locking en DynamoDB. La red es una VPC dedicada (10.0.0.0/16) con subnets públicas y privadas en 2 zonas de disponibilidad: las tareas de ECS Fargate y la RDS viven en subnets privadas sin IP pública, con salida a internet vía NAT Gateway; el ALB vive en las subnets públicas. La resolución de nombres entre servicios internos (Collector, Prometheus, dispatch, triage) usa AWS Cloud Map, ya que las IPs de las tareas Fargate cambian en cada despliegue.</w:t>
      </w:r>
    </w:p>
    <w:p w:rsidR="00000000" w:rsidDel="00000000" w:rsidP="00000000" w:rsidRDefault="00000000" w:rsidRPr="00000000" w14:paraId="00000062">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 Decisiones de diseño</w:t>
      </w:r>
    </w:p>
    <w:p w:rsidR="00000000" w:rsidDel="00000000" w:rsidP="00000000" w:rsidRDefault="00000000" w:rsidRPr="00000000" w14:paraId="0000006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sección documenta las decisiones de arquitectura tomadas durante el proyecto, con su justificación y las alternativas consideradas.</w:t>
      </w:r>
    </w:p>
    <w:p w:rsidR="00000000" w:rsidDel="00000000" w:rsidP="00000000" w:rsidRDefault="00000000" w:rsidRPr="00000000" w14:paraId="00000064">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4.1 Persistencia: RDS PostgreSQL administrado</w:t>
      </w:r>
    </w:p>
    <w:p w:rsidR="00000000" w:rsidDel="00000000" w:rsidP="00000000" w:rsidRDefault="00000000" w:rsidRPr="00000000" w14:paraId="0000006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evaluó correr Postgres en un contenedor dentro del mismo cluster ECS versus usar RDS administrado. Se optó por RDS (db.t4g.micro) porque es el estándar del ecosistema AWS, incluye backups y alta disponibilidad gestionados, y no aumenta la superficie operativa del cluster de aplicación. El costo adicional frente a un contenedor es marginal para el tamaño de instancia elegido.</w:t>
      </w:r>
    </w:p>
    <w:p w:rsidR="00000000" w:rsidDel="00000000" w:rsidP="00000000" w:rsidRDefault="00000000" w:rsidRPr="00000000" w14:paraId="00000066">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4.2 Backend de trazas: AWS X-Ray</w:t>
      </w:r>
    </w:p>
    <w:p w:rsidR="00000000" w:rsidDel="00000000" w:rsidP="00000000" w:rsidRDefault="00000000" w:rsidRPr="00000000" w14:paraId="0000006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Jaeger/Tempo self-hosted y AWS X-Ray, se eligió X-Ray por ser un servicio administrado con exporter nativo en el OTel Collector (awsxray), sin infraestructura adicional que mantener ni almacenamiento propio que dimensionar. La contrapartida es un acoplamiento mayor a AWS frente a un backend basado en OTLP puro; para este proyecto, ya desplegado íntegramente en AWS, ese acoplamiento no es un costo relevante.</w:t>
      </w:r>
    </w:p>
    <w:p w:rsidR="00000000" w:rsidDel="00000000" w:rsidP="00000000" w:rsidRDefault="00000000" w:rsidRPr="00000000" w14:paraId="00000068">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4.3 Métricas: Prometheus + Grafana self-hosted</w:t>
      </w:r>
    </w:p>
    <w:p w:rsidR="00000000" w:rsidDel="00000000" w:rsidP="00000000" w:rsidRDefault="00000000" w:rsidRPr="00000000" w14:paraId="0000006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diferencia de las trazas, para métricas se optó por self-hosted (Prometheus + Grafana en ECS Fargate) en vez de Amazon Managed Prometheus/Grafana. La razón es doble: el modelo de pricing de los servicios administrados de AWS para métricas es por volumen ingerido y por usuario, lo cual encarece un proyecto de bajo tráfico; y correr el stack uno mismo da más visibilidad de cómo funciona por dentro un pipeline de métricas real (scrape config, provisioning de dashboards, datasources).</w:t>
      </w:r>
    </w:p>
    <w:p w:rsidR="00000000" w:rsidDel="00000000" w:rsidP="00000000" w:rsidRDefault="00000000" w:rsidRPr="00000000" w14:paraId="0000006A">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4.4 Entrega de configuración al OTel Collector</w:t>
      </w:r>
    </w:p>
    <w:p w:rsidR="00000000" w:rsidDel="00000000" w:rsidP="00000000" w:rsidRDefault="00000000" w:rsidRPr="00000000" w14:paraId="0000006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distribución ADOT del Collector no soporta el esquema ssm:// como config provider (se intentó inicialmente y falló con "unsupported scheme"). La solución adoptada fue inyectar el YAML de configuración como variable de entorno vía el mecanismo "secrets" de ECS (que sí soporta referenciar un parámetro de SSM directamente), y usar el config provider estándar env: del propio Collector para leerla. El mismo patrón se reutilizó para Prometheus y Grafana, cuyas imágenes oficiales tampoco leen configuración desde variables de entorno nativamente: se sobreescribió el entrypoint del contenedor para escribir el archivo de configuración a disco antes de arrancar el proceso real.</w:t>
      </w:r>
    </w:p>
    <w:p w:rsidR="00000000" w:rsidDel="00000000" w:rsidP="00000000" w:rsidRDefault="00000000" w:rsidRPr="00000000" w14:paraId="0000006C">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4.5 Autenticación CI/CD: GitHub OIDC sin credenciales estáticas</w:t>
      </w:r>
    </w:p>
    <w:p w:rsidR="00000000" w:rsidDel="00000000" w:rsidP="00000000" w:rsidRDefault="00000000" w:rsidRPr="00000000" w14:paraId="0000006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 Actions se autentica contra AWS vía OpenID Connect (OIDC): un IAM Role de confianza federada, sin access keys de larga duración almacenadas como secreto en GitHub. Las credenciales que recibe cada ejecución del workflow son temporales (expiran en 1 hora) y quedan auditadas en CloudTrail. El trust policy del rol está scopeado por nombre de repositorio, rama y tipo de evento (push/pull_request) — un detalle no trivial: GitHub emite el claim sub del token con IDs numéricos inmutables del owner/repo (no solo el nombre), lo cual requirió ajustar el trust policy con wildcards para tolerar ese formato.</w:t>
      </w:r>
    </w:p>
    <w:p w:rsidR="00000000" w:rsidDel="00000000" w:rsidP="00000000" w:rsidRDefault="00000000" w:rsidRPr="00000000" w14:paraId="0000006E">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4.6 Estructura del monorepo de Go (go.work)</w:t>
      </w:r>
    </w:p>
    <w:p w:rsidR="00000000" w:rsidDel="00000000" w:rsidP="00000000" w:rsidRDefault="00000000" w:rsidRPr="00000000" w14:paraId="0000006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compartido entre servicios (setup de telemetría OTel, logger estructurado, cliente HTTP instrumentado) vive en un módulo Go local (pkg/) referenciado vía go.work, evitando duplicar la configuración de OpenTelemetry en cada servicio. Esta decisión tuvo una consecuencia práctica en el pipeline de build: el contexto de build de Docker tuvo que cambiarse de "directorio del servicio" a "raíz del repositorio", porque el módulo pkg/ es un directorio hermano invisible para Docker con un contexto más acotado.</w:t>
      </w:r>
    </w:p>
    <w:p w:rsidR="00000000" w:rsidDel="00000000" w:rsidP="00000000" w:rsidRDefault="00000000" w:rsidRPr="00000000" w14:paraId="00000070">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4.7 Logs estructurados vs. señal OTLP de logs</w:t>
      </w:r>
    </w:p>
    <w:p w:rsidR="00000000" w:rsidDel="00000000" w:rsidP="00000000" w:rsidRDefault="00000000" w:rsidRPr="00000000" w14:paraId="00000071">
      <w:pPr>
        <w:spacing w:line="480" w:lineRule="auto"/>
        <w:rPr>
          <w:rFonts w:ascii="Times New Roman" w:cs="Times New Roman" w:eastAsia="Times New Roman" w:hAnsi="Times New Roman"/>
          <w:sz w:val="24"/>
          <w:szCs w:val="24"/>
        </w:rPr>
      </w:pPr>
      <w:sdt>
        <w:sdtPr>
          <w:id w:val="-547957300"/>
          <w:tag w:val="goog_rdk_1"/>
        </w:sdtPr>
        <w:sdtContent>
          <w:r w:rsidDel="00000000" w:rsidR="00000000" w:rsidRPr="00000000">
            <w:rPr>
              <w:rFonts w:ascii="Cardo" w:cs="Cardo" w:eastAsia="Cardo" w:hAnsi="Cardo"/>
              <w:sz w:val="24"/>
              <w:szCs w:val="24"/>
              <w:rtl w:val="0"/>
            </w:rPr>
            <w:t xml:space="preserve">Se descartó exportar logs vía OTLP a través del Collector, en favor de logs JSON estructurados escritos a stdout (con trace_id/span_id inyectados desde el contexto activo) recolectados por el driver awslogs de ECS hacia CloudWatch Logs. Esta opción evita añadir una cuarta señal al pipeline del Collector, aprovecha un mecanismo de recolección de logs que ECS ya provee de forma nativa, y de todos modos permite la correlación log↔traza usando trace_id como campo de búsqueda — que era el requisito real, no el transporte OTLP en sí mismo.</w:t>
          </w:r>
        </w:sdtContent>
      </w:sdt>
    </w:p>
    <w:p w:rsidR="00000000" w:rsidDel="00000000" w:rsidP="00000000" w:rsidRDefault="00000000" w:rsidRPr="00000000" w14:paraId="00000072">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 Implementación de observabilidad (Fases 1–3)</w:t>
      </w:r>
    </w:p>
    <w:p w:rsidR="00000000" w:rsidDel="00000000" w:rsidP="00000000" w:rsidRDefault="00000000" w:rsidRPr="00000000" w14:paraId="00000073">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5.1 Trazas distribuidas</w:t>
      </w:r>
    </w:p>
    <w:p w:rsidR="00000000" w:rsidDel="00000000" w:rsidP="00000000" w:rsidRDefault="00000000" w:rsidRPr="00000000" w14:paraId="00000074">
      <w:pPr>
        <w:spacing w:line="480" w:lineRule="auto"/>
        <w:rPr>
          <w:rFonts w:ascii="Times New Roman" w:cs="Times New Roman" w:eastAsia="Times New Roman" w:hAnsi="Times New Roman"/>
          <w:sz w:val="24"/>
          <w:szCs w:val="24"/>
        </w:rPr>
      </w:pPr>
      <w:sdt>
        <w:sdtPr>
          <w:id w:val="-165701943"/>
          <w:tag w:val="goog_rdk_2"/>
        </w:sdtPr>
        <w:sdtContent>
          <w:r w:rsidDel="00000000" w:rsidR="00000000" w:rsidRPr="00000000">
            <w:rPr>
              <w:rFonts w:ascii="Cardo" w:cs="Cardo" w:eastAsia="Cardo" w:hAnsi="Cardo"/>
              <w:sz w:val="24"/>
              <w:szCs w:val="24"/>
              <w:rtl w:val="0"/>
            </w:rPr>
            <w:t xml:space="preserve">Auto-instrumentación HTTP en servidor y cliente (paquete otelhttp de OpenTelemetry Contrib) en ambos servicios, propagación de contexto W3C Trace Context, auto-instrumentación de PostgreSQL vía otelsql (cada query es un span hijo, con métricas del pool de conexiones incluidas), y spans custom manuales en la lógica de negocio crítica: findBestAmbulance en dispatch-service y calculatePriority en triage-service. El resultado verificado end-to-end: una sola traza que cruza ambos servicios, con la estructura POST /dispatch → findBestAmbulance → HTTP client → POST /triage → calculatePriority → sql.conn.exec.</w:t>
          </w:r>
        </w:sdtContent>
      </w:sdt>
    </w:p>
    <w:p w:rsidR="00000000" w:rsidDel="00000000" w:rsidP="00000000" w:rsidRDefault="00000000" w:rsidRPr="00000000" w14:paraId="00000075">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5.2 Métricas</w:t>
      </w:r>
    </w:p>
    <w:p w:rsidR="00000000" w:rsidDel="00000000" w:rsidP="00000000" w:rsidRDefault="00000000" w:rsidRPr="00000000" w14:paraId="0000007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servicio expone un endpoint /metrics en formato Prometheus (exporter pull de OpenTelemetry Metrics SDK), deliberadamente fuera del mux instrumentado con otelhttp para que el propio scrape de Prometheus no genere spans de traza. Prometheus scrapea dispatch-service, triage-service y el endpoint de telemetría interna del Collector (puerto 8888) — este último es el que alimenta el panel de "errores del Collector" del dashboard.</w:t>
      </w:r>
    </w:p>
    <w:p w:rsidR="00000000" w:rsidDel="00000000" w:rsidP="00000000" w:rsidRDefault="00000000" w:rsidRPr="00000000" w14:paraId="00000077">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5.3 Logs correlacionados</w:t>
      </w:r>
    </w:p>
    <w:p w:rsidR="00000000" w:rsidDel="00000000" w:rsidP="00000000" w:rsidRDefault="00000000" w:rsidRPr="00000000" w14:paraId="0000007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Logging estructurado JSON (log/slog de Go) en el nivel de los handlers HTTP, en el camino exitoso y en el de error, incluyendo trace_id/span_id extraídos del contexto activo cuando existe un span. Verificado en producción: el mismo trace_id aparece en los logs de dispatch-service y triage-service para una misma request, permitiendo pivotear de una línea de log a la traza completa en CloudWatch Logs Insights o Grafana Explorer.</w:t>
      </w:r>
    </w:p>
    <w:p w:rsidR="00000000" w:rsidDel="00000000" w:rsidP="00000000" w:rsidRDefault="00000000" w:rsidRPr="00000000" w14:paraId="00000079">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5.4 Visualización</w:t>
      </w:r>
    </w:p>
    <w:p w:rsidR="00000000" w:rsidDel="00000000" w:rsidP="00000000" w:rsidRDefault="00000000" w:rsidRPr="00000000" w14:paraId="0000007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dashboard "Emergency Ops - SLIs" en Grafana tiene 6 paneles: tasa de requests (tráfico), porcentaje de error, latencia p99, conexiones abiertas a la base de datos (saturación), CPU de los contenedores ECS (vía datasource nativo de CloudWatch/Container Insights, más preciso que una métrica de proceso), y errores del Collector (spans rechazados/fallidos en el receiver). Todos los paneles fueron verificados contra datos reales generados con tráfico de prueba, no solo validados como JSON bien formado.</w:t>
      </w:r>
    </w:p>
    <w:p w:rsidR="00000000" w:rsidDel="00000000" w:rsidP="00000000" w:rsidRDefault="00000000" w:rsidRPr="00000000" w14:paraId="0000007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72810" cy="2027555"/>
            <wp:effectExtent b="0" l="0" r="0" t="0"/>
            <wp:docPr id="202276975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72810" cy="2027555"/>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72810" cy="1578610"/>
            <wp:effectExtent b="0" l="0" r="0" t="0"/>
            <wp:docPr id="202276975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72810" cy="157861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72810" cy="2903220"/>
            <wp:effectExtent b="0" l="0" r="0" t="0"/>
            <wp:docPr id="2022769756"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972810" cy="290322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line="480" w:lineRule="auto"/>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19050</wp:posOffset>
            </wp:positionH>
            <wp:positionV relativeFrom="paragraph">
              <wp:posOffset>19050</wp:posOffset>
            </wp:positionV>
            <wp:extent cx="5972810" cy="2905125"/>
            <wp:effectExtent b="0" l="0" r="0" t="0"/>
            <wp:wrapNone/>
            <wp:docPr id="202276975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972810" cy="2905125"/>
                    </a:xfrm>
                    <a:prstGeom prst="rect"/>
                    <a:ln/>
                  </pic:spPr>
                </pic:pic>
              </a:graphicData>
            </a:graphic>
          </wp:anchor>
        </w:drawing>
      </w:r>
    </w:p>
    <w:p w:rsidR="00000000" w:rsidDel="00000000" w:rsidP="00000000" w:rsidRDefault="00000000" w:rsidRPr="00000000" w14:paraId="00000080">
      <w:pPr>
        <w:pStyle w:val="Heading1"/>
        <w:spacing w:line="48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1">
      <w:pPr>
        <w:pStyle w:val="Heading1"/>
        <w:spacing w:line="48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2">
      <w:pPr>
        <w:pStyle w:val="Heading1"/>
        <w:spacing w:line="48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3">
      <w:pPr>
        <w:pStyle w:val="Heading1"/>
        <w:spacing w:line="480" w:lineRule="auto"/>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84">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 Análisis de overhead (Fase 4)</w:t>
      </w:r>
    </w:p>
    <w:p w:rsidR="00000000" w:rsidDel="00000000" w:rsidP="00000000" w:rsidRDefault="00000000" w:rsidRPr="00000000" w14:paraId="00000085">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6.1 Metodología</w:t>
      </w:r>
    </w:p>
    <w:p w:rsidR="00000000" w:rsidDel="00000000" w:rsidP="00000000" w:rsidRDefault="00000000" w:rsidRPr="00000000" w14:paraId="0000008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comparó triage-service en dos versiones construidas desde el mismo repositorio en distintos commits: una versión baseline sin OpenTelemetry (HTTP + acceso a Postgres) y la versión instrumentada (HEAD), con OTel SDK completo — auto-instrumentación HTTP, auto-instrumentación DB, un span custom, logs correlacionados, y exportación OTLP real a un Collector local (no a un endpoint caído, para que el overhead medido incluya el costo real de exportar y no reintentos fallidos).</w:t>
      </w:r>
    </w:p>
    <w:p w:rsidR="00000000" w:rsidDel="00000000" w:rsidP="00000000" w:rsidRDefault="00000000" w:rsidRPr="00000000" w14:paraId="0000008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eligió triage-service (no dispatch-service) porque es el servicio con base de datos real y span custom, y porque dispatch-service tiene una limitación de dominio — el pool de ambulancias se agota bajo carga sostenida al no existir un flujo de liberación — que sesga cualquier comparación de throughput entre versiones.</w:t>
      </w:r>
    </w:p>
    <w:p w:rsidR="00000000" w:rsidDel="00000000" w:rsidP="00000000" w:rsidRDefault="00000000" w:rsidRPr="00000000" w14:paraId="0000008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Ambas versiones corrieron en contenedores Docker idénticos (misma imagen base, mismo Postgres 16 recién creado, misma red aislada), en la misma máquina, de forma secuencial. Carga generada con k6: rampa de 0 a 20 VUs en 10s, sostenido en 20 VUs por 30s, baja a 0 en 5s — cada request un POST /triage con un report_id único. Métricas capturadas: percentiles de http_req_duration (k6) y CPU%/memoria de docker stats muestreado cada 2 segundos durante toda la corrida.</w:t>
      </w:r>
    </w:p>
    <w:p w:rsidR="00000000" w:rsidDel="00000000" w:rsidP="00000000" w:rsidRDefault="00000000" w:rsidRPr="00000000" w14:paraId="00000089">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6.2 Resultados</w:t>
      </w:r>
    </w:p>
    <w:tbl>
      <w:tblPr>
        <w:tblStyle w:val="Table3"/>
        <w:tblW w:w="9404.0" w:type="dxa"/>
        <w:jc w:val="center"/>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tcBorders>
              <w:top w:color="ffffff" w:space="0" w:sz="8" w:val="single"/>
              <w:left w:color="ffffff" w:space="0" w:sz="8" w:val="single"/>
              <w:bottom w:color="ffffff" w:space="0" w:sz="18" w:val="single"/>
              <w:right w:color="ffffff" w:space="0" w:sz="8" w:val="single"/>
            </w:tcBorders>
          </w:tcPr>
          <w:p w:rsidR="00000000" w:rsidDel="00000000" w:rsidP="00000000" w:rsidRDefault="00000000" w:rsidRPr="00000000" w14:paraId="0000008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Métrica</w:t>
            </w:r>
          </w:p>
        </w:tc>
        <w:tc>
          <w:tcPr>
            <w:tcBorders>
              <w:top w:color="ffffff" w:space="0" w:sz="8" w:val="single"/>
              <w:left w:color="ffffff" w:space="0" w:sz="8" w:val="single"/>
              <w:bottom w:color="ffffff" w:space="0" w:sz="18" w:val="single"/>
              <w:right w:color="ffffff" w:space="0" w:sz="8" w:val="single"/>
            </w:tcBorders>
          </w:tcPr>
          <w:p w:rsidR="00000000" w:rsidDel="00000000" w:rsidP="00000000" w:rsidRDefault="00000000" w:rsidRPr="00000000" w14:paraId="0000008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 (sin OTel)</w:t>
            </w:r>
          </w:p>
        </w:tc>
        <w:tc>
          <w:tcPr>
            <w:tcBorders>
              <w:top w:color="ffffff" w:space="0" w:sz="8" w:val="single"/>
              <w:left w:color="ffffff" w:space="0" w:sz="8" w:val="single"/>
              <w:bottom w:color="ffffff" w:space="0" w:sz="18" w:val="single"/>
              <w:right w:color="ffffff" w:space="0" w:sz="8" w:val="single"/>
            </w:tcBorders>
          </w:tcPr>
          <w:p w:rsidR="00000000" w:rsidDel="00000000" w:rsidP="00000000" w:rsidRDefault="00000000" w:rsidRPr="00000000" w14:paraId="0000008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Instrumentado (con OTel)</w:t>
            </w:r>
          </w:p>
        </w:tc>
        <w:tc>
          <w:tcPr>
            <w:tcBorders>
              <w:top w:color="ffffff" w:space="0" w:sz="8" w:val="single"/>
              <w:left w:color="ffffff" w:space="0" w:sz="8" w:val="single"/>
              <w:bottom w:color="ffffff" w:space="0" w:sz="18" w:val="single"/>
              <w:right w:color="ffffff" w:space="0" w:sz="8" w:val="single"/>
            </w:tcBorders>
          </w:tcPr>
          <w:p w:rsidR="00000000" w:rsidDel="00000000" w:rsidP="00000000" w:rsidRDefault="00000000" w:rsidRPr="00000000" w14:paraId="0000008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Overhead</w:t>
            </w:r>
          </w:p>
        </w:tc>
      </w:tr>
      <w:tr>
        <w:trPr>
          <w:cantSplit w:val="0"/>
          <w:tblHeader w:val="0"/>
        </w:trPr>
        <w:tc>
          <w:tcPr>
            <w:tcBorders>
              <w:top w:color="ffffff" w:space="0" w:sz="1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8E">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Requests completados (45s)</w:t>
            </w:r>
          </w:p>
        </w:tc>
        <w:tc>
          <w:tcPr>
            <w:tcBorders>
              <w:top w:color="ffffff" w:space="0" w:sz="1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8F">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13,549</w:t>
            </w:r>
          </w:p>
        </w:tc>
        <w:tc>
          <w:tcPr>
            <w:tcBorders>
              <w:top w:color="ffffff" w:space="0" w:sz="1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0">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12,487</w:t>
            </w:r>
          </w:p>
        </w:tc>
        <w:tc>
          <w:tcPr>
            <w:tcBorders>
              <w:top w:color="ffffff" w:space="0" w:sz="1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1">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 throughput</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2">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Throughput (req/s)</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3">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301.1</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4">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277.4</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5">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-7.9%</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6">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Latencia promedio</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7">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54.72 ms</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59.38 ms</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+4.66 ms (+8.5%)</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A">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Latencia p90</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B">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119.37 ms</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C">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126.13 ms</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9D">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+6.76 ms (+5.7%)</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E">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Latencia p95</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9F">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143.63 ms</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0">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148.91 ms</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1">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+5.28 ms (+3.7%)</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2">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Latencia p99</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3">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197.86 ms</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4">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209.46 ms</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5">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+11.6 ms (+5.9%)</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6">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CPU promedio (contenedor)</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7">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157.6%</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161.5%</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pp (+2.5%)</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A">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CPU pico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B">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210.9%</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C">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206.0%</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AD">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-4.9 pp (ruido de muestreo)</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E">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Memoria promedio</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AF">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11.77 MiB</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B0">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14.53 MiB</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B1">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+2.76 MiB (+23.4%)</w:t>
            </w:r>
          </w:p>
        </w:tc>
      </w:tr>
      <w:tr>
        <w:trPr>
          <w:cantSplit w:val="0"/>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B2">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Memoria pico</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B3">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12.57 MiB</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B4">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17.17 MiB</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B5">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+4.60 MiB (+36.6%)</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B6">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Tasa de error</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B7">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B8">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w:t>
            </w:r>
          </w:p>
        </w:tc>
        <w:tc>
          <w:tcPr>
            <w:tcBorders>
              <w:top w:color="ffffff" w:space="0" w:sz="8" w:val="single"/>
              <w:left w:color="ffffff" w:space="0" w:sz="8" w:val="single"/>
              <w:bottom w:color="ffffff" w:space="0" w:sz="8" w:val="single"/>
              <w:right w:color="ffffff" w:space="0" w:sz="8" w:val="single"/>
            </w:tcBorders>
            <w:shd w:fill="auto" w:val="clear"/>
          </w:tcPr>
          <w:p w:rsidR="00000000" w:rsidDel="00000000" w:rsidP="00000000" w:rsidRDefault="00000000" w:rsidRPr="00000000" w14:paraId="000000B9">
            <w:pPr>
              <w:spacing w:after="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cambio</w:t>
            </w:r>
          </w:p>
        </w:tc>
      </w:tr>
    </w:tbl>
    <w:p w:rsidR="00000000" w:rsidDel="00000000" w:rsidP="00000000" w:rsidRDefault="00000000" w:rsidRPr="00000000" w14:paraId="000000BA">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pStyle w:val="Heading2"/>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6.3 Interpretación</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Latencia: overhead de un solo dígito en p99 (~6%), consistente con auto-instrumentación HTTP+DB con exportación por lotes (processor batch) — el SDK no bloquea el request path para exportar, solo agrega el costo de crear/cerrar spans y serializar atributos.</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CPU: overhead marginal (~2.5%) en promedio; el pico más alto del baseline es ruido de muestreo (docker stats con intervalo de 2s en una corrida de 45s captura pocas muestras), no una tendencia real.</w:t>
      </w:r>
    </w:p>
    <w:p w:rsidR="00000000" w:rsidDel="00000000" w:rsidP="00000000" w:rsidRDefault="00000000" w:rsidRPr="00000000" w14:paraId="00000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Memoria: el overhead relativo (+23% promedio, +37% pico) es el más notorio, pero ambos procesos parten de una base muy chica (~12 MiB); el SDK de OTel añade unos pocos MiB fijos (buffers de spans, batching, exportador gRPC) que pesan proporcionalmente mucho sobre una base tan pequeña. En términos absolutos (~3–5 MiB) es irrelevante frente a los 512 MB asignados a la tarea de triage en ECS.</w:t>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Throughput: la caída de ~8% a la misma cantidad de VUs es coherente con el aumento de latencia por request (a más tiempo por request, menos requests/s con VUs fijos) — no indica saturación ni errores nuevos.</w:t>
      </w:r>
    </w:p>
    <w:p w:rsidR="00000000" w:rsidDel="00000000" w:rsidP="00000000" w:rsidRDefault="00000000" w:rsidRPr="00000000" w14:paraId="000000C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Conclusión de la Fase 4: con exportación funcionando, el overhead de la instrumentación OTel completa es de un solo dígito en latencia y CPU, y de pocos MiB de memoria en términos absolutos. Para el tamaño de task definido en ECS, el overhead medido no justifica cambiar el dimensionamiento de recursos.</w:t>
      </w:r>
    </w:p>
    <w:p w:rsidR="00000000" w:rsidDel="00000000" w:rsidP="00000000" w:rsidRDefault="00000000" w:rsidRPr="00000000" w14:paraId="000000C1">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7. Limitaciones conocidas</w:t>
      </w:r>
    </w:p>
    <w:p w:rsidR="00000000" w:rsidDel="00000000" w:rsidP="00000000" w:rsidRDefault="00000000" w:rsidRPr="00000000" w14:paraId="00000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dispatch-service no libera ambulancias tras completar el ETA — bajo carga sostenida el pool se agota (limitación de dominio, no de la instrumentación; motivó medir el overhead contra triage-service en su lugar).</w:t>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El campo incident_latitude/incident_longitude a veces devuelve 0 en la respuesta de POST /dispatch — posible mismatch de nombre de campo en el DTO, pendiente de investigar.</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El ALB no tiene HTTPS ni WAF configurados — aceptable para el ambiente de desarrollo actual, no para un despliegue de producción.</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Cloud Map (service discovery interno) no tiene un ícono dedicado en la librería de formas AWS4 de draw.io, quedó documentado como nota de texto en el diagrama de arquitectura.</w:t>
      </w:r>
    </w:p>
    <w:p w:rsidR="00000000" w:rsidDel="00000000" w:rsidP="00000000" w:rsidRDefault="00000000" w:rsidRPr="00000000" w14:paraId="000000C6">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8. Conclusiones</w:t>
      </w:r>
    </w:p>
    <w:p w:rsidR="00000000" w:rsidDel="00000000" w:rsidP="00000000" w:rsidRDefault="00000000" w:rsidRPr="00000000" w14:paraId="000000C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cumplió las cuatro fases planteadas: instrumentación completa de los tres pilares de observabilidad en ambos microservicios, despliegue de un OTel Collector como punto central de recolección y procesamiento, configuración de backends de trazas y métricas con visualización verificada contra datos reales, y un análisis cuantitativo — no asumido — del overhead que introduce la instrumentación.</w:t>
      </w:r>
    </w:p>
    <w:p w:rsidR="00000000" w:rsidDel="00000000" w:rsidP="00000000" w:rsidRDefault="00000000" w:rsidRPr="00000000" w14:paraId="000000C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Más allá del resultado final, el proceso de despliegue expuso varios problemas reales de integración entre OpenTelemetry, ECS Fargate y los servicios administrados de AWS (el esquema ssm:// no soportado por el Collector, la necesidad de registrar servicios en Cloud Map para que Prometheus los pudiera scrapear, el anti-patrón de mezclar reglas de security group inline con reglas sueltas en Terraform) que no suelen documentarse en tutoriales, y que representan buena parte del valor práctico de este trabajo.</w:t>
      </w:r>
    </w:p>
    <w:p w:rsidR="00000000" w:rsidDel="00000000" w:rsidP="00000000" w:rsidRDefault="00000000" w:rsidRPr="00000000" w14:paraId="000000C9">
      <w:pPr>
        <w:pStyle w:val="Heading1"/>
        <w:spacing w:line="48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9. Referencias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Código de los servicios: github.com/cristiancave/emergency-ops</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Infraestructura (Terraform): github.com/cristiancave/emergency-ops-infrastructure</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Benchmark de overhead (metodología completa): emergency-ops/docs/OTEL_OVERHEAD_BENCHMARK.md</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Script de carga k6: emergency-ops/benchmark/k6-triage-load.js</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Diagrama de arquitectura: emergency-ops-infrastructure/docs/architecture.drawio</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480" w:lineRule="auto"/>
        <w:ind w:left="3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OpenTelemetry: opentelemetry.io</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480" w:lineRule="auto"/>
        <w:ind w:left="360" w:right="0"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0"/>
          <w:iCs w:val="0"/>
          <w:smallCaps w:val="0"/>
          <w:strike w:val="0"/>
          <w:sz w:val="24"/>
          <w:szCs w:val="24"/>
          <w:u w:val="none"/>
          <w:shd w:fill="auto" w:val="clear"/>
          <w:vertAlign w:val="baseline"/>
          <w:rtl w:val="0"/>
        </w:rPr>
        <w:t xml:space="preserve">AWS Distro for OpenTelemetry (ADOT): aws-otel.github.io</w:t>
      </w:r>
    </w:p>
    <w:p w:rsidR="00000000" w:rsidDel="00000000" w:rsidP="00000000" w:rsidRDefault="00000000" w:rsidRPr="00000000" w14:paraId="000000D1">
      <w:pPr>
        <w:pStyle w:val="Heading1"/>
        <w:keepNext w:val="0"/>
        <w:keepLines w:val="0"/>
        <w:spacing w:after="120" w:line="480" w:lineRule="auto"/>
        <w:rPr>
          <w:rFonts w:ascii="Times New Roman" w:cs="Times New Roman" w:eastAsia="Times New Roman" w:hAnsi="Times New Roman"/>
          <w:color w:val="000000"/>
          <w:sz w:val="28"/>
          <w:szCs w:val="28"/>
        </w:rPr>
      </w:pPr>
      <w:bookmarkStart w:colFirst="0" w:colLast="0" w:name="_heading=h.soh2tact3m3p" w:id="0"/>
      <w:bookmarkEnd w:id="0"/>
      <w:r w:rsidDel="00000000" w:rsidR="00000000" w:rsidRPr="00000000">
        <w:rPr>
          <w:rFonts w:ascii="Times New Roman" w:cs="Times New Roman" w:eastAsia="Times New Roman" w:hAnsi="Times New Roman"/>
          <w:color w:val="000000"/>
          <w:sz w:val="28"/>
          <w:szCs w:val="28"/>
          <w:rtl w:val="0"/>
        </w:rPr>
        <w:t xml:space="preserve">10. Anexo — Despliegue multi-cloud: segundo OTel Collector en GCP</w:t>
      </w:r>
    </w:p>
    <w:p w:rsidR="00000000" w:rsidDel="00000000" w:rsidP="00000000" w:rsidRDefault="00000000" w:rsidRPr="00000000" w14:paraId="000000D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Este anexo documenta una extensión posterior del proyecto: además del Collector en AWS (Fase 2), se desplegó un segundo OTel Collector en Google Cloud Platform, con dispatch-service y triage-service (que siguen corriendo íntegramente en AWS) exportando cada traza a ambos en paralelo. El objetivo fue demostrar propagación de contexto W3C TraceContext cross-cloud con tráfico de producción real, no una prueba aislada.</w:t>
      </w:r>
    </w:p>
    <w:p w:rsidR="00000000" w:rsidDel="00000000" w:rsidP="00000000" w:rsidRDefault="00000000" w:rsidRPr="00000000" w14:paraId="000000D3">
      <w:pPr>
        <w:pStyle w:val="Heading2"/>
        <w:keepNext w:val="0"/>
        <w:keepLines w:val="0"/>
        <w:spacing w:after="80" w:before="360" w:line="480" w:lineRule="auto"/>
        <w:rPr>
          <w:rFonts w:ascii="Times New Roman" w:cs="Times New Roman" w:eastAsia="Times New Roman" w:hAnsi="Times New Roman"/>
          <w:color w:val="000000"/>
          <w:sz w:val="24"/>
          <w:szCs w:val="24"/>
        </w:rPr>
      </w:pPr>
      <w:bookmarkStart w:colFirst="0" w:colLast="0" w:name="_heading=h.yv1n6j5jtxl9" w:id="1"/>
      <w:bookmarkEnd w:id="1"/>
      <w:r w:rsidDel="00000000" w:rsidR="00000000" w:rsidRPr="00000000">
        <w:rPr>
          <w:rFonts w:ascii="Times New Roman" w:cs="Times New Roman" w:eastAsia="Times New Roman" w:hAnsi="Times New Roman"/>
          <w:color w:val="000000"/>
          <w:sz w:val="24"/>
          <w:szCs w:val="24"/>
          <w:rtl w:val="0"/>
        </w:rPr>
        <w:t xml:space="preserve">10.1 Arquitectura</w:t>
      </w:r>
    </w:p>
    <w:p w:rsidR="00000000" w:rsidDel="00000000" w:rsidP="00000000" w:rsidRDefault="00000000" w:rsidRPr="00000000" w14:paraId="000000D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Collector de GCP corre en Cloud Run (otel/opentelemetry-collector-contrib), con un receiver OTLP/HTTP como único punto de entrada. Cloud Run, a diferencia de un ALB con múltiples listeners, solo permite exponer un puerto externo por servicio — esto descartó desplegar Jaeger self-hosted en GCP (necesita dos puertos alcanzables desde afuera: 16686 para la UI y 4317/4318 para el receiver OTLP). En su lugar, el Collector exporta a Google Cloud Trace (trazas) y Cloud Monitoring (métricas) vía el exporter nativo "googlecloud" — la misma decisión de fondo que llevar a AWS X-Ray en la Fase 3 (preferir un backend administrado antes que uno self-hosted con problemas de infraestructura propios), documentada en el ADR-016 del repositorio de infraestructura.</w:t>
      </w:r>
    </w:p>
    <w:p w:rsidR="00000000" w:rsidDel="00000000" w:rsidP="00000000" w:rsidRDefault="00000000" w:rsidRPr="00000000" w14:paraId="000000D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código, pkg/telemetry.go registra un segundo exportador OTLP/HTTP (otlptracehttp) como un batcher adicional sobre el mismo TracerProvider — cada span que dispatch/triage generan se despacha automáticamente a ambos batchers, sin lógica de duplicación manual. El endpoint de GCP es opcional (variable de entorno OTEL_EXPORTER_OTLP_ENDPOINT_GCP): si no está configurado, el comportamiento es idéntico al de antes de este anexo.</w:t>
      </w:r>
    </w:p>
    <w:p w:rsidR="00000000" w:rsidDel="00000000" w:rsidP="00000000" w:rsidRDefault="00000000" w:rsidRPr="00000000" w14:paraId="000000D6">
      <w:pPr>
        <w:pStyle w:val="Heading2"/>
        <w:keepNext w:val="0"/>
        <w:keepLines w:val="0"/>
        <w:spacing w:after="80" w:before="360" w:line="480" w:lineRule="auto"/>
        <w:rPr>
          <w:rFonts w:ascii="Times New Roman" w:cs="Times New Roman" w:eastAsia="Times New Roman" w:hAnsi="Times New Roman"/>
          <w:color w:val="000000"/>
          <w:sz w:val="24"/>
          <w:szCs w:val="24"/>
        </w:rPr>
      </w:pPr>
      <w:bookmarkStart w:colFirst="0" w:colLast="0" w:name="_heading=h.n3bqs6o8lu8b" w:id="2"/>
      <w:bookmarkEnd w:id="2"/>
      <w:r w:rsidDel="00000000" w:rsidR="00000000" w:rsidRPr="00000000">
        <w:rPr>
          <w:rFonts w:ascii="Times New Roman" w:cs="Times New Roman" w:eastAsia="Times New Roman" w:hAnsi="Times New Roman"/>
          <w:color w:val="000000"/>
          <w:sz w:val="24"/>
          <w:szCs w:val="24"/>
          <w:rtl w:val="0"/>
        </w:rPr>
        <w:t xml:space="preserve">10.2 Verificación</w:t>
      </w:r>
    </w:p>
    <w:p w:rsidR="00000000" w:rsidDel="00000000" w:rsidP="00000000" w:rsidRDefault="00000000" w:rsidRPr="00000000" w14:paraId="000000D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generó tráfico real contra el ALB de AWS (POST /triage) y se extrajo el trace_id del log estructurado de triage-service en CloudWatch. Ese mismo trace_id se buscó directamente en la API de Cloud Trace de GCP:</w:t>
      </w:r>
    </w:p>
    <w:p w:rsidR="00000000" w:rsidDel="00000000" w:rsidP="00000000" w:rsidRDefault="00000000" w:rsidRPr="00000000" w14:paraId="000000D8">
      <w:pPr>
        <w:spacing w:after="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trace_id verificado: c9ead768312c5feb174491d39ead1043</w:t>
      </w:r>
    </w:p>
    <w:p w:rsidR="00000000" w:rsidDel="00000000" w:rsidP="00000000" w:rsidRDefault="00000000" w:rsidRPr="00000000" w14:paraId="000000D9">
      <w:pPr>
        <w:spacing w:after="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sz w:val="24"/>
          <w:szCs w:val="24"/>
          <w:rtl w:val="0"/>
        </w:rPr>
        <w:t xml:space="preserve">Origen: triage-service, instancia EC2 de la task de ECS (host.name=ip-10-0-11-4.ec2.internal), en la subnet privada de la VPC de AWS.</w:t>
      </w:r>
    </w:p>
    <w:p w:rsidR="00000000" w:rsidDel="00000000" w:rsidP="00000000" w:rsidRDefault="00000000" w:rsidRPr="00000000" w14:paraId="000000DA">
      <w:p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sdt>
        <w:sdtPr>
          <w:id w:val="-2130032344"/>
          <w:tag w:val="goog_rdk_3"/>
        </w:sdtPr>
        <w:sdtContent>
          <w:r w:rsidDel="00000000" w:rsidR="00000000" w:rsidRPr="00000000">
            <w:rPr>
              <w:rFonts w:ascii="Cardo" w:cs="Cardo" w:eastAsia="Cardo" w:hAnsi="Cardo"/>
              <w:sz w:val="24"/>
              <w:szCs w:val="24"/>
              <w:rtl w:val="0"/>
            </w:rPr>
            <w:t xml:space="preserve">Encontrado en Cloud Trace (GCP) con la estructura de spans completa: POST /triage (span raíz) → sql.conn.reset_session, sql.conn.exec (INSERT en emergency_reports), calculatePriority (span custom, con atributos triage.priority/triage.reason), sql.conn.reset_session, sql.conn.exec (INSERT en triage_results) — con las relaciones parentSpanId correctas entre todos los spans.</w:t>
          </w:r>
        </w:sdtContent>
      </w:sdt>
    </w:p>
    <w:p w:rsidR="00000000" w:rsidDel="00000000" w:rsidP="00000000" w:rsidRDefault="00000000" w:rsidRPr="00000000" w14:paraId="000000DB">
      <w:p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921000"/>
            <wp:effectExtent b="0" l="0" r="0" t="0"/>
            <wp:docPr id="202276975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984500"/>
            <wp:effectExtent b="0" l="0" r="0" t="0"/>
            <wp:docPr id="202276975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line="480" w:lineRule="auto"/>
        <w:ind w:left="36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Esto confirma propagación de contexto de punta a punta cruzando dos nubes: el trace_id generado por el SDK de OpenTelemetry en un contenedor corriendo en AWS ECS es exactamente el mismo id, buscable, en la consola de trazas de una nube completamente distinta — no una aproximación ni una traza sintética de prueba.</w:t>
      </w:r>
    </w:p>
    <w:p w:rsidR="00000000" w:rsidDel="00000000" w:rsidP="00000000" w:rsidRDefault="00000000" w:rsidRPr="00000000" w14:paraId="000000DF">
      <w:pPr>
        <w:pStyle w:val="Heading2"/>
        <w:keepNext w:val="0"/>
        <w:keepLines w:val="0"/>
        <w:spacing w:after="80" w:before="360" w:line="480" w:lineRule="auto"/>
        <w:rPr>
          <w:rFonts w:ascii="Times New Roman" w:cs="Times New Roman" w:eastAsia="Times New Roman" w:hAnsi="Times New Roman"/>
          <w:color w:val="000000"/>
          <w:sz w:val="24"/>
          <w:szCs w:val="24"/>
        </w:rPr>
      </w:pPr>
      <w:bookmarkStart w:colFirst="0" w:colLast="0" w:name="_heading=h.lmss3pnlrp7o" w:id="3"/>
      <w:bookmarkEnd w:id="3"/>
      <w:r w:rsidDel="00000000" w:rsidR="00000000" w:rsidRPr="00000000">
        <w:rPr>
          <w:rFonts w:ascii="Times New Roman" w:cs="Times New Roman" w:eastAsia="Times New Roman" w:hAnsi="Times New Roman"/>
          <w:color w:val="000000"/>
          <w:sz w:val="24"/>
          <w:szCs w:val="24"/>
          <w:rtl w:val="0"/>
        </w:rPr>
        <w:t xml:space="preserve">10.3 Actualización — benchmark con carga realista (80 VUs, 5 min)</w:t>
      </w:r>
    </w:p>
    <w:p w:rsidR="00000000" w:rsidDel="00000000" w:rsidP="00000000" w:rsidRDefault="00000000" w:rsidRPr="00000000" w14:paraId="000000E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re-ejecutó el benchmark de la Fase 4 con la carga recomendada (50-100 usuarios concurrentes durante 5 minutos): 80 VUs sostenidos, rampa de 30s, 5 minutos de meseta, baja en 15s. El primer intento, sin límites de CPU/memoria por contenedor, dio un resultado sin sentido (la versión instrumentada midió más rápida que el baseline, mecánicamente imposible) — causado por ruido del host (laptop compartida, no un entorno dedicado) que superó la señal real a esa concurrencia. Se corrigió fijando `docker run --cpus=2 --memory=1g` en ambas versiones, aislando la medición del resto de procesos de la máquina.</w:t>
      </w:r>
    </w:p>
    <w:p w:rsidR="00000000" w:rsidDel="00000000" w:rsidP="00000000" w:rsidRDefault="00000000" w:rsidRPr="00000000" w14:paraId="000000E1">
      <w:pPr>
        <w:spacing w:line="480" w:lineRule="auto"/>
        <w:rPr>
          <w:rFonts w:ascii="Times New Roman" w:cs="Times New Roman" w:eastAsia="Times New Roman" w:hAnsi="Times New Roman"/>
          <w:sz w:val="24"/>
          <w:szCs w:val="24"/>
        </w:rPr>
      </w:pPr>
      <w:sdt>
        <w:sdtPr>
          <w:id w:val="-1627618839"/>
          <w:tag w:val="goog_rdk_4"/>
        </w:sdtPr>
        <w:sdtContent>
          <w:r w:rsidDel="00000000" w:rsidR="00000000" w:rsidRPr="00000000">
            <w:rPr>
              <w:rFonts w:ascii="Cardo" w:cs="Cardo" w:eastAsia="Cardo" w:hAnsi="Cardo"/>
              <w:sz w:val="24"/>
              <w:szCs w:val="24"/>
              <w:rtl w:val="0"/>
            </w:rPr>
            <w:t xml:space="preserve">Resultado con recursos acotados: throughput -9.9%, latencia p99 +17.6% (579.72ms → 681.71ms), memoria +30.0% relativo (+6.17 MiB absolutos), CPU sin cambio neto (ambas versiones saturan el mismo tope de 2 vCPU, por lo que el costo extra de OTel se manifiesta como menor throughput/mayor latencia en vez de más % de CPU). El overhead en p99 casi triplica al observado bajo carga ligera (20 VUs: ~5.9%) — el hallazgo central de esta actualización es que el overhead de OpenTelemetry escala con la concurrencia, no es una constante. Metodología y tabla completa en emergency-ops/docs/OTEL_OVERHEAD_BENCHMARK.md (sección "Prueba 2").</w:t>
          </w:r>
        </w:sdtContent>
      </w:sdt>
    </w:p>
    <w:p w:rsidR="00000000" w:rsidDel="00000000" w:rsidP="00000000" w:rsidRDefault="00000000" w:rsidRPr="00000000" w14:paraId="000000E2">
      <w:pPr>
        <w:pStyle w:val="Heading2"/>
        <w:keepNext w:val="0"/>
        <w:keepLines w:val="0"/>
        <w:spacing w:after="80" w:before="360" w:line="480" w:lineRule="auto"/>
        <w:rPr>
          <w:rFonts w:ascii="Times New Roman" w:cs="Times New Roman" w:eastAsia="Times New Roman" w:hAnsi="Times New Roman"/>
          <w:color w:val="000000"/>
          <w:sz w:val="24"/>
          <w:szCs w:val="24"/>
        </w:rPr>
      </w:pPr>
      <w:bookmarkStart w:colFirst="0" w:colLast="0" w:name="_heading=h.abnzufwb8zq8" w:id="4"/>
      <w:bookmarkEnd w:id="4"/>
      <w:sdt>
        <w:sdtPr>
          <w:id w:val="560796101"/>
          <w:tag w:val="goog_rdk_5"/>
        </w:sdtPr>
        <w:sdtContent>
          <w:r w:rsidDel="00000000" w:rsidR="00000000" w:rsidRPr="00000000">
            <w:rPr>
              <w:rFonts w:ascii="Cardo" w:cs="Cardo" w:eastAsia="Cardo" w:hAnsi="Cardo"/>
              <w:color w:val="000000"/>
              <w:sz w:val="24"/>
              <w:szCs w:val="24"/>
              <w:rtl w:val="0"/>
            </w:rPr>
            <w:t xml:space="preserve">10.4 Exemplars — correlación métricas ↔ trazas</w:t>
          </w:r>
        </w:sdtContent>
      </w:sdt>
    </w:p>
    <w:p w:rsidR="00000000" w:rsidDel="00000000" w:rsidP="00000000" w:rsidRDefault="00000000" w:rsidRPr="00000000" w14:paraId="000000E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cerró el gap restante de correlación cross-signal agregando exemplars a las métricas: el SDK de OpenTelemetry para Go ya adjunta automáticamente el trace_id/span_id de la request activa a cada muestra de un histograma (filtro TraceBasedFilter, default desde el SDK v1.31, no experimental) — no hizo falta tocar la instrumentación de negocio. El único cambio real fue de exposición: el endpoint /metrics pasó de formato de texto clásico de Prometheus a OpenMetrics (único formato que puede serializar exemplars), Prometheus se desplegó con el flag --enable-feature=exemplar-storage (sin el cual descarta los exemplars del scrape), y el datasource de Prometheus en Grafana se configuró con un link de exemplar hacia la consola de X-Ray parametrizado por trace_id (documentado en ADR-017).</w:t>
      </w:r>
    </w:p>
    <w:p w:rsidR="00000000" w:rsidDel="00000000" w:rsidP="00000000" w:rsidRDefault="00000000" w:rsidRPr="00000000" w14:paraId="000000E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Verificado end-to-end en el ambiente desplegado: una muestra real de http_server_request_duration_seconds_bucket en el /metrics de triage-service trajo el exemplar {trace_id="f73fee37ae5ac66fae14f05a4a687422", span_id="7667572b198383d7"}, y el mismo dato se confirmó consultable a través de la API de exemplars de Prometheus vía el proxy de datasource de Grafana (/api/v1/query_exemplars), con múltiples pares trace_id/span_id sobre http_server_request_duration_seconds_bucket para dispatch-service y triage-service. De paso se corrigió el panel "CPU Utilization (ECS)" del dashboard de Grafana, que no mostraba datos: la query usaba el namespace ECS/ContainerInsights sin los campos de modo de query que el plugin de CloudWatch actual requiere para ejecutarla como Metrics query — se cambió al namespace estándar AWS/ECS (CPUUtilization), publicado automáticamente para Fargate, y se agregaron los campos faltantes.</w:t>
      </w:r>
    </w:p>
    <w:p w:rsidR="00000000" w:rsidDel="00000000" w:rsidP="00000000" w:rsidRDefault="00000000" w:rsidRPr="00000000" w14:paraId="000000E5">
      <w:pPr>
        <w:spacing w:line="480" w:lineRule="auto"/>
        <w:rPr>
          <w:rFonts w:ascii="Times New Roman" w:cs="Times New Roman" w:eastAsia="Times New Roman" w:hAnsi="Times New Roman"/>
          <w:sz w:val="24"/>
          <w:szCs w:val="24"/>
        </w:rPr>
      </w:pPr>
      <w:sdt>
        <w:sdtPr>
          <w:id w:val="-382260049"/>
          <w:tag w:val="goog_rdk_6"/>
        </w:sdtPr>
        <w:sdtContent>
          <w:r w:rsidDel="00000000" w:rsidR="00000000" w:rsidRPr="00000000">
            <w:rPr>
              <w:rFonts w:ascii="Cardo" w:cs="Cardo" w:eastAsia="Cardo" w:hAnsi="Cardo"/>
              <w:sz w:val="24"/>
              <w:szCs w:val="24"/>
              <w:rtl w:val="0"/>
            </w:rPr>
            <w:t xml:space="preserve">Con esto las tres patas de la correlación cross-signal quedan cerradas: trazas ↔ logs (trace_id en los logs JSON), trazas ↔ trazas cross-cloud (mismo trace_id verificable en X-Ray y en Cloud Trace, Fase 10.2), y ahora métricas ↔ trazas (exemplars).</w:t>
          </w:r>
        </w:sdtContent>
      </w:sdt>
    </w:p>
    <w:p w:rsidR="00000000" w:rsidDel="00000000" w:rsidP="00000000" w:rsidRDefault="00000000" w:rsidRPr="00000000" w14:paraId="000000E6">
      <w:pPr>
        <w:pStyle w:val="Heading2"/>
        <w:keepNext w:val="0"/>
        <w:keepLines w:val="0"/>
        <w:spacing w:after="80" w:before="360" w:line="480" w:lineRule="auto"/>
        <w:rPr>
          <w:rFonts w:ascii="Times New Roman" w:cs="Times New Roman" w:eastAsia="Times New Roman" w:hAnsi="Times New Roman"/>
          <w:color w:val="000000"/>
          <w:sz w:val="34"/>
          <w:szCs w:val="34"/>
        </w:rPr>
      </w:pPr>
      <w:bookmarkStart w:colFirst="0" w:colLast="0" w:name="_heading=h.x61hrj7nx1vl" w:id="5"/>
      <w:bookmarkEnd w:id="5"/>
      <w:r w:rsidDel="00000000" w:rsidR="00000000" w:rsidRPr="00000000">
        <w:rPr>
          <w:rFonts w:ascii="Times New Roman" w:cs="Times New Roman" w:eastAsia="Times New Roman" w:hAnsi="Times New Roman"/>
          <w:color w:val="000000"/>
          <w:sz w:val="34"/>
          <w:szCs w:val="34"/>
          <w:rtl w:val="0"/>
        </w:rPr>
        <w:t xml:space="preserve">Bibliografía</w:t>
      </w:r>
    </w:p>
    <w:p w:rsidR="00000000" w:rsidDel="00000000" w:rsidP="00000000" w:rsidRDefault="00000000" w:rsidRPr="00000000" w14:paraId="000000E7">
      <w:pPr>
        <w:spacing w:after="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OpenTelemetry.</w:t>
      </w:r>
      <w:r w:rsidDel="00000000" w:rsidR="00000000" w:rsidRPr="00000000">
        <w:rPr>
          <w:rFonts w:ascii="Times New Roman" w:cs="Times New Roman" w:eastAsia="Times New Roman" w:hAnsi="Times New Roman"/>
          <w:sz w:val="24"/>
          <w:szCs w:val="24"/>
          <w:rtl w:val="0"/>
        </w:rPr>
        <w:t xml:space="preserve"> Python SDK.</w:t>
        <w:br w:type="textWrapping"/>
        <w:t xml:space="preserve"> URL: https://opentelemetry-python.readthedocs.io/</w:t>
      </w:r>
    </w:p>
    <w:p w:rsidR="00000000" w:rsidDel="00000000" w:rsidP="00000000" w:rsidRDefault="00000000" w:rsidRPr="00000000" w14:paraId="000000E8">
      <w:pPr>
        <w:spacing w:after="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Jaeger.</w:t>
      </w:r>
      <w:r w:rsidDel="00000000" w:rsidR="00000000" w:rsidRPr="00000000">
        <w:rPr>
          <w:rFonts w:ascii="Times New Roman" w:cs="Times New Roman" w:eastAsia="Times New Roman" w:hAnsi="Times New Roman"/>
          <w:sz w:val="24"/>
          <w:szCs w:val="24"/>
          <w:rtl w:val="0"/>
        </w:rPr>
        <w:t xml:space="preserve"> Architecture Documentation.</w:t>
        <w:br w:type="textWrapping"/>
        <w:t xml:space="preserve"> URL: https://www.jaegertracing.io/docs/architecture/</w:t>
      </w:r>
    </w:p>
    <w:p w:rsidR="00000000" w:rsidDel="00000000" w:rsidP="00000000" w:rsidRDefault="00000000" w:rsidRPr="00000000" w14:paraId="000000E9">
      <w:pPr>
        <w:spacing w:after="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Grafana.</w:t>
      </w:r>
      <w:r w:rsidDel="00000000" w:rsidR="00000000" w:rsidRPr="00000000">
        <w:rPr>
          <w:rFonts w:ascii="Times New Roman" w:cs="Times New Roman" w:eastAsia="Times New Roman" w:hAnsi="Times New Roman"/>
          <w:sz w:val="24"/>
          <w:szCs w:val="24"/>
          <w:rtl w:val="0"/>
        </w:rPr>
        <w:t xml:space="preserve"> Unified Observability: Linking Traces, Logs and Metrics.</w:t>
        <w:br w:type="textWrapping"/>
        <w:t xml:space="preserve"> URL: https://grafana.com/docs/grafana/latest/explore/trace-integration/</w:t>
      </w:r>
    </w:p>
    <w:p w:rsidR="00000000" w:rsidDel="00000000" w:rsidP="00000000" w:rsidRDefault="00000000" w:rsidRPr="00000000" w14:paraId="000000EA">
      <w:pPr>
        <w:spacing w:after="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k6.</w:t>
      </w:r>
      <w:r w:rsidDel="00000000" w:rsidR="00000000" w:rsidRPr="00000000">
        <w:rPr>
          <w:rFonts w:ascii="Times New Roman" w:cs="Times New Roman" w:eastAsia="Times New Roman" w:hAnsi="Times New Roman"/>
          <w:sz w:val="24"/>
          <w:szCs w:val="24"/>
          <w:rtl w:val="0"/>
        </w:rPr>
        <w:t xml:space="preserve"> Load Testing Documentation.</w:t>
        <w:br w:type="textWrapping"/>
        <w:t xml:space="preserve"> URL: https://k6.io/docs/</w:t>
      </w:r>
    </w:p>
    <w:p w:rsidR="00000000" w:rsidDel="00000000" w:rsidP="00000000" w:rsidRDefault="00000000" w:rsidRPr="00000000" w14:paraId="000000EB">
      <w:pPr>
        <w:spacing w:after="0"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W3C.</w:t>
      </w:r>
      <w:r w:rsidDel="00000000" w:rsidR="00000000" w:rsidRPr="00000000">
        <w:rPr>
          <w:rFonts w:ascii="Times New Roman" w:cs="Times New Roman" w:eastAsia="Times New Roman" w:hAnsi="Times New Roman"/>
          <w:sz w:val="24"/>
          <w:szCs w:val="24"/>
          <w:rtl w:val="0"/>
        </w:rPr>
        <w:t xml:space="preserve"> Trace Context Specification.</w:t>
        <w:br w:type="textWrapping"/>
        <w:t xml:space="preserve"> URL: https://www.w3.org/TR/trace-context/</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Times New Roman" w:cs="Times New Roman" w:eastAsia="Times New Roman" w:hAnsi="Times New Roman"/>
          <w:sz w:val="24"/>
          <w:szCs w:val="24"/>
        </w:rPr>
      </w:pPr>
      <w:r w:rsidDel="00000000" w:rsidR="00000000" w:rsidRPr="00000000">
        <w:rPr>
          <w:rtl w:val="0"/>
        </w:rPr>
      </w:r>
    </w:p>
    <w:sectPr>
      <w:headerReference r:id="rId14" w:type="default"/>
      <w:headerReference r:id="rId15" w:type="first"/>
      <w:footerReference r:id="rId16" w:type="first"/>
      <w:pgSz w:h="15840" w:w="12240" w:orient="portrait"/>
      <w:pgMar w:bottom="1440.0000000000002" w:top="1247.2440944881891" w:left="1440.0000000000002" w:right="1440.000000000000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232f3e"/>
      <w:sz w:val="40"/>
      <w:szCs w:val="4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232f3e"/>
      <w:sz w:val="32"/>
      <w:szCs w:val="3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ed7100"/>
      <w:sz w:val="26"/>
      <w:szCs w:val="26"/>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MbMYMjKX94ivJoHm+9Oxsp9BoQ==">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nNvaDJ0YWN0M20zcDIOaC55djFuNmo1anR4bDkyDmgubjNicXM2bzhsdThiMg5oLmxtc3MzcG5scnA3bzIOaC5hYm56dWZ3Yjh6cTgyDmgueDYxaHJqN254MXZsOAByITFGT0p1VXFMQXdsT2NuVWZaV1BrdXp5cFBUUW5wWmtM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