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232F3E"/>
          <w:sz w:val="60"/>
        </w:rPr>
        <w:t>Reporte Técnico</w:t>
      </w:r>
    </w:p>
    <w:p>
      <w:pPr>
        <w:jc w:val="center"/>
      </w:pPr>
      <w:r>
        <w:rPr>
          <w:b/>
          <w:color w:val="ED7100"/>
          <w:sz w:val="32"/>
        </w:rPr>
        <w:t>Instrumentación de Observabilidad con OpenTelemetry</w:t>
        <w:br/>
        <w:t>en una Arquitectura de Microservicios sobre AWS</w:t>
      </w:r>
    </w:p>
    <w:p/>
    <w:p>
      <w:pPr>
        <w:jc w:val="center"/>
      </w:pPr>
      <w:r>
        <w:rPr>
          <w:i/>
          <w:color w:val="666666"/>
          <w:sz w:val="26"/>
        </w:rPr>
        <w:t>Caso de estudio: Emergency Ops — Sistema de Despacho de Ambulancias</w:t>
      </w:r>
    </w:p>
    <w:p>
      <w:pPr>
        <w:spacing w:before="1600"/>
      </w:pPr>
    </w:p>
    <w:tbl>
      <w:tblPr>
        <w:tblW w:type="auto" w:w="0"/>
        <w:jc w:val="center"/>
        <w:tblLook w:firstColumn="1" w:firstRow="1" w:lastColumn="0" w:lastRow="0" w:noHBand="0" w:noVBand="1" w:val="04A0"/>
      </w:tblPr>
      <w:tblGrid>
        <w:gridCol w:w="4703"/>
        <w:gridCol w:w="4703"/>
      </w:tblGrid>
      <w:tr>
        <w:tc>
          <w:tcPr>
            <w:tcW w:type="dxa" w:w="4703"/>
          </w:tcPr>
          <w:p>
            <w:r>
              <w:rPr>
                <w:b/>
                <w:sz w:val="20"/>
              </w:rPr>
              <w:t>Fecha</w:t>
            </w:r>
          </w:p>
        </w:tc>
        <w:tc>
          <w:tcPr>
            <w:tcW w:type="dxa" w:w="4703"/>
          </w:tcPr>
          <w:p>
            <w:r>
              <w:rPr>
                <w:sz w:val="20"/>
              </w:rPr>
              <w:t>16/08/2026</w:t>
            </w:r>
          </w:p>
        </w:tc>
      </w:tr>
      <w:tr>
        <w:tc>
          <w:tcPr>
            <w:tcW w:type="dxa" w:w="4703"/>
          </w:tcPr>
          <w:p>
            <w:r>
              <w:rPr>
                <w:b/>
                <w:sz w:val="20"/>
              </w:rPr>
              <w:t>Alcance</w:t>
            </w:r>
          </w:p>
        </w:tc>
        <w:tc>
          <w:tcPr>
            <w:tcW w:type="dxa" w:w="4703"/>
          </w:tcPr>
          <w:p>
            <w:r>
              <w:rPr>
                <w:sz w:val="20"/>
              </w:rPr>
              <w:t>Fases 1–4: instrumentación, Collector, backends, análisis de overhead</w:t>
            </w:r>
          </w:p>
        </w:tc>
      </w:tr>
      <w:tr>
        <w:tc>
          <w:tcPr>
            <w:tcW w:type="dxa" w:w="4703"/>
          </w:tcPr>
          <w:p>
            <w:r>
              <w:rPr>
                <w:b/>
                <w:sz w:val="20"/>
              </w:rPr>
              <w:t>Cuenta AWS / Región</w:t>
            </w:r>
          </w:p>
        </w:tc>
        <w:tc>
          <w:tcPr>
            <w:tcW w:type="dxa" w:w="4703"/>
          </w:tcPr>
          <w:p>
            <w:r>
              <w:rPr>
                <w:sz w:val="20"/>
              </w:rPr>
              <w:t>149511939303 · us-east-1</w:t>
            </w:r>
          </w:p>
        </w:tc>
      </w:tr>
      <w:tr>
        <w:tc>
          <w:tcPr>
            <w:tcW w:type="dxa" w:w="4703"/>
          </w:tcPr>
          <w:p>
            <w:r>
              <w:rPr>
                <w:b/>
                <w:sz w:val="20"/>
              </w:rPr>
              <w:t>Repositorio de código</w:t>
            </w:r>
          </w:p>
        </w:tc>
        <w:tc>
          <w:tcPr>
            <w:tcW w:type="dxa" w:w="4703"/>
          </w:tcPr>
          <w:p>
            <w:r>
              <w:rPr>
                <w:sz w:val="20"/>
              </w:rPr>
              <w:t>github.com/cristiancave/emergency-ops</w:t>
            </w:r>
          </w:p>
        </w:tc>
      </w:tr>
      <w:tr>
        <w:tc>
          <w:tcPr>
            <w:tcW w:type="dxa" w:w="4703"/>
          </w:tcPr>
          <w:p>
            <w:r>
              <w:rPr>
                <w:b/>
                <w:sz w:val="20"/>
              </w:rPr>
              <w:t>Repositorio de infraestructura</w:t>
            </w:r>
          </w:p>
        </w:tc>
        <w:tc>
          <w:tcPr>
            <w:tcW w:type="dxa" w:w="4703"/>
          </w:tcPr>
          <w:p>
            <w:r>
              <w:rPr>
                <w:sz w:val="20"/>
              </w:rPr>
              <w:t>github.com/cristiancave/emergency-ops-infrastructure</w:t>
            </w:r>
          </w:p>
        </w:tc>
      </w:tr>
      <w:tr>
        <w:tc>
          <w:tcPr>
            <w:tcW w:type="dxa" w:w="4703"/>
          </w:tcPr>
          <w:p>
            <w:r>
              <w:rPr>
                <w:b/>
                <w:sz w:val="20"/>
              </w:rPr>
              <w:t>Stack</w:t>
            </w:r>
          </w:p>
        </w:tc>
        <w:tc>
          <w:tcPr>
            <w:tcW w:type="dxa" w:w="4703"/>
          </w:tcPr>
          <w:p>
            <w:r>
              <w:rPr>
                <w:sz w:val="20"/>
              </w:rPr>
              <w:t>Go · OpenTelemetry · ECS Fargate · Terraform · GitHub Actions (OIDC)</w:t>
            </w:r>
          </w:p>
        </w:tc>
      </w:tr>
    </w:tbl>
    <w:p>
      <w:r>
        <w:br w:type="page"/>
      </w:r>
    </w:p>
    <w:p>
      <w:pPr>
        <w:pStyle w:val="Heading1"/>
      </w:pPr>
      <w:r>
        <w:t>Índice</w:t>
      </w:r>
    </w:p>
    <w:p>
      <w:pPr>
        <w:spacing w:after="40"/>
      </w:pPr>
      <w:r>
        <w:rPr>
          <w:b/>
        </w:rPr>
        <w:t>1. Resumen ejecutivo</w:t>
      </w:r>
    </w:p>
    <w:p>
      <w:pPr>
        <w:spacing w:after="40"/>
      </w:pPr>
      <w:r>
        <w:rPr>
          <w:b/>
        </w:rPr>
        <w:t>2. Introducción y objetivos</w:t>
      </w:r>
    </w:p>
    <w:p>
      <w:pPr>
        <w:spacing w:after="40"/>
      </w:pPr>
      <w:r>
        <w:rPr>
          <w:b/>
        </w:rPr>
        <w:t>3. Arquitectura del sistema</w:t>
      </w:r>
    </w:p>
    <w:p>
      <w:pPr>
        <w:spacing w:after="40"/>
      </w:pPr>
      <w:r>
        <w:t xml:space="preserve">   3.1 Componentes principales</w:t>
      </w:r>
    </w:p>
    <w:p>
      <w:pPr>
        <w:spacing w:after="40"/>
      </w:pPr>
      <w:r>
        <w:t xml:space="preserve">   3.2 Flujo de una petición</w:t>
      </w:r>
    </w:p>
    <w:p>
      <w:pPr>
        <w:spacing w:after="40"/>
      </w:pPr>
      <w:r>
        <w:t xml:space="preserve">   3.3 Infraestructura en AWS</w:t>
      </w:r>
    </w:p>
    <w:p>
      <w:pPr>
        <w:spacing w:after="40"/>
      </w:pPr>
      <w:r>
        <w:rPr>
          <w:b/>
        </w:rPr>
        <w:t>4. Decisiones de diseño</w:t>
      </w:r>
    </w:p>
    <w:p>
      <w:pPr>
        <w:spacing w:after="40"/>
      </w:pPr>
      <w:r>
        <w:t xml:space="preserve">   4.1 Persistencia: RDS PostgreSQL administrado</w:t>
      </w:r>
    </w:p>
    <w:p>
      <w:pPr>
        <w:spacing w:after="40"/>
      </w:pPr>
      <w:r>
        <w:t xml:space="preserve">   4.2 Backend de trazas: AWS X-Ray</w:t>
      </w:r>
    </w:p>
    <w:p>
      <w:pPr>
        <w:spacing w:after="40"/>
      </w:pPr>
      <w:r>
        <w:t xml:space="preserve">   4.3 Métricas: Prometheus + Grafana self-hosted</w:t>
      </w:r>
    </w:p>
    <w:p>
      <w:pPr>
        <w:spacing w:after="40"/>
      </w:pPr>
      <w:r>
        <w:t xml:space="preserve">   4.4 Entrega de configuración al OTel Collector</w:t>
      </w:r>
    </w:p>
    <w:p>
      <w:pPr>
        <w:spacing w:after="40"/>
      </w:pPr>
      <w:r>
        <w:t xml:space="preserve">   4.5 Autenticación CI/CD: GitHub OIDC sin credenciales estáticas</w:t>
      </w:r>
    </w:p>
    <w:p>
      <w:pPr>
        <w:spacing w:after="40"/>
      </w:pPr>
      <w:r>
        <w:t xml:space="preserve">   4.6 Estructura del monorepo de Go (go.work)</w:t>
      </w:r>
    </w:p>
    <w:p>
      <w:pPr>
        <w:spacing w:after="40"/>
      </w:pPr>
      <w:r>
        <w:t xml:space="preserve">   4.7 Logs estructurados vs. señal OTLP de logs</w:t>
      </w:r>
    </w:p>
    <w:p>
      <w:pPr>
        <w:spacing w:after="40"/>
      </w:pPr>
      <w:r>
        <w:rPr>
          <w:b/>
        </w:rPr>
        <w:t>5. Implementación de observabilidad (Fases 1–3)</w:t>
      </w:r>
    </w:p>
    <w:p>
      <w:pPr>
        <w:spacing w:after="40"/>
      </w:pPr>
      <w:r>
        <w:t xml:space="preserve">   5.1 Trazas distribuidas</w:t>
      </w:r>
    </w:p>
    <w:p>
      <w:pPr>
        <w:spacing w:after="40"/>
      </w:pPr>
      <w:r>
        <w:t xml:space="preserve">   5.2 Métricas</w:t>
      </w:r>
    </w:p>
    <w:p>
      <w:pPr>
        <w:spacing w:after="40"/>
      </w:pPr>
      <w:r>
        <w:t xml:space="preserve">   5.3 Logs correlacionados</w:t>
      </w:r>
    </w:p>
    <w:p>
      <w:pPr>
        <w:spacing w:after="40"/>
      </w:pPr>
      <w:r>
        <w:t xml:space="preserve">   5.4 Visualización</w:t>
      </w:r>
    </w:p>
    <w:p>
      <w:pPr>
        <w:spacing w:after="40"/>
      </w:pPr>
      <w:r>
        <w:rPr>
          <w:b/>
        </w:rPr>
        <w:t>6. Análisis de overhead (Fase 4)</w:t>
      </w:r>
    </w:p>
    <w:p>
      <w:pPr>
        <w:spacing w:after="40"/>
      </w:pPr>
      <w:r>
        <w:t xml:space="preserve">   6.1 Metodología</w:t>
      </w:r>
    </w:p>
    <w:p>
      <w:pPr>
        <w:spacing w:after="40"/>
      </w:pPr>
      <w:r>
        <w:t xml:space="preserve">   6.2 Resultados</w:t>
      </w:r>
    </w:p>
    <w:p>
      <w:pPr>
        <w:spacing w:after="40"/>
      </w:pPr>
      <w:r>
        <w:t xml:space="preserve">   6.3 Interpretación</w:t>
      </w:r>
    </w:p>
    <w:p>
      <w:pPr>
        <w:spacing w:after="40"/>
      </w:pPr>
      <w:r>
        <w:rPr>
          <w:b/>
        </w:rPr>
        <w:t>7. Limitaciones conocidas</w:t>
      </w:r>
    </w:p>
    <w:p>
      <w:pPr>
        <w:spacing w:after="40"/>
      </w:pPr>
      <w:r>
        <w:rPr>
          <w:b/>
        </w:rPr>
        <w:t>8. Conclusiones</w:t>
      </w:r>
    </w:p>
    <w:p>
      <w:pPr>
        <w:spacing w:after="40"/>
      </w:pPr>
      <w:r>
        <w:rPr>
          <w:b/>
        </w:rPr>
        <w:t>9. Referencias</w:t>
      </w:r>
    </w:p>
    <w:p>
      <w:r>
        <w:br w:type="page"/>
      </w:r>
    </w:p>
    <w:p>
      <w:pPr>
        <w:pStyle w:val="Heading1"/>
      </w:pPr>
      <w:r>
        <w:t>1. Resumen ejecutivo</w:t>
      </w:r>
    </w:p>
    <w:p>
      <w:r>
        <w:t>Este reporte documenta la instrumentación de observabilidad end-to-end de un sistema de microservicios (dispatch-service → triage-service) desplegado en AWS, cubriendo las cuatro fases del proyecto: instrumentación con OpenTelemetry SDK, despliegue de un OTel Collector, configuración de backends de trazas/métricas/logs con su visualización, y un análisis cuantitativo del overhead que introduce la instrumentación.</w:t>
      </w:r>
    </w:p>
    <w:p>
      <w:r>
        <w:t>El resultado es un sistema donde cada request HTTP entre servicios, cada query a base de datos, y la lógica de negocio crítica generan una traza distribuida completa, correlacionada con métricas Prometheus y logs estructurados JSON — todo desplegado de forma reproducible con Terraform y un pipeline de CI/CD que no depende de credenciales AWS estáticas.</w:t>
      </w:r>
    </w:p>
    <w:p>
      <w:r>
        <w:t>El hallazgo principal del análisis de overhead (Fase 4) es que, con el pipeline de exportación funcionando correctamente, la instrumentación completa de OpenTelemetry (auto-instrumentación HTTP y DB, spans custom, logs correlacionados) introduce un overhead de un solo dígito porcentual en latencia p99 (~6%) y en CPU (~2.5%), con un costo de memoria de pocos MiB en términos absolutos — un costo que no justifica cambiar el dimensionamiento de los servicios en producción.</w:t>
      </w:r>
    </w:p>
    <w:p>
      <w:pPr>
        <w:pStyle w:val="Heading1"/>
      </w:pPr>
      <w:r>
        <w:t>2. Introducción y objetivos</w:t>
      </w:r>
    </w:p>
    <w:p>
      <w:r>
        <w:t>Emergency Ops es un sistema de despacho de ambulancias compuesto por dos microservicios: dispatch-service, que recibe reportes de emergencia y asigna la ambulancia disponible más cercana, y triage-service, que clasifica la prioridad médica del reporte (RED/YELLOW/GREEN) según edad del paciente y síntomas reportados. dispatch-service depende de triage-service vía HTTP, y triage-service persiste reportes y clasificaciones en una base de datos relacional — la arquitectura mínima representativa de un sistema real que necesita observabilidad: dependencia entre servicios + acceso a datos.</w:t>
      </w:r>
    </w:p>
    <w:p>
      <w:r>
        <w:t>Los objetivos concretos de este trabajo fueron:</w:t>
      </w:r>
    </w:p>
    <w:p>
      <w:pPr>
        <w:pStyle w:val="ListBullet"/>
      </w:pPr>
      <w:r>
        <w:t>Instrumentar ambos servicios con el SDK de OpenTelemetry, cubriendo los tres pilares de observabilidad (trazas, métricas, logs) sin depender de agentes externos.</w:t>
      </w:r>
    </w:p>
    <w:p>
      <w:pPr>
        <w:pStyle w:val="ListBullet"/>
      </w:pPr>
      <w:r>
        <w:t>Desplegar un OTel Collector como punto central de recolección, con procesamiento (batching, control de memoria, enriquecimiento de atributos) antes de exportar a los backends finales.</w:t>
      </w:r>
    </w:p>
    <w:p>
      <w:pPr>
        <w:pStyle w:val="ListBullet"/>
      </w:pPr>
      <w:r>
        <w:t>Configurar backends de visualización — trazas distribuidas y un dashboard de métricas con los 4 Service Level Indicators (SLIs) clásicos más CPU y salud del propio Collector.</w:t>
      </w:r>
    </w:p>
    <w:p>
      <w:pPr>
        <w:pStyle w:val="ListBullet"/>
      </w:pPr>
      <w:r>
        <w:t>Cuantificar el overhead real que introduce la instrumentación, en vez de asumirlo.</w:t>
      </w:r>
    </w:p>
    <w:p>
      <w:pPr>
        <w:pStyle w:val="Heading1"/>
      </w:pPr>
      <w:r>
        <w:t>3. Arquitectura del sistema</w:t>
      </w:r>
    </w:p>
    <w:p>
      <w:pPr>
        <w:pStyle w:val="Heading2"/>
      </w:pPr>
      <w:r>
        <w:t>3.1 Componentes principales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232F3E"/>
          </w:tcPr>
          <w:p>
            <w:r>
              <w:rPr>
                <w:b/>
                <w:color w:val="FFFFFF"/>
                <w:sz w:val="20"/>
              </w:rPr>
              <w:t>Componente</w:t>
            </w:r>
          </w:p>
        </w:tc>
        <w:tc>
          <w:tcPr>
            <w:tcW w:type="dxa" w:w="3135"/>
            <w:shd w:fill="232F3E"/>
          </w:tcPr>
          <w:p>
            <w:r>
              <w:rPr>
                <w:b/>
                <w:color w:val="FFFFFF"/>
                <w:sz w:val="20"/>
              </w:rPr>
              <w:t>Tecnología</w:t>
            </w:r>
          </w:p>
        </w:tc>
        <w:tc>
          <w:tcPr>
            <w:tcW w:type="dxa" w:w="3135"/>
            <w:shd w:fill="232F3E"/>
          </w:tcPr>
          <w:p>
            <w:r>
              <w:rPr>
                <w:b/>
                <w:color w:val="FFFFFF"/>
                <w:sz w:val="20"/>
              </w:rPr>
              <w:t>Rol</w:t>
            </w:r>
          </w:p>
        </w:tc>
      </w:tr>
      <w:tr>
        <w:tc>
          <w:tcPr>
            <w:tcW w:type="dxa" w:w="3135"/>
          </w:tcPr>
          <w:p>
            <w:pPr>
              <w:spacing w:after="40"/>
            </w:pPr>
            <w:r>
              <w:rPr>
                <w:sz w:val="20"/>
              </w:rPr>
              <w:t>dispatch-service</w:t>
            </w:r>
          </w:p>
        </w:tc>
        <w:tc>
          <w:tcPr>
            <w:tcW w:type="dxa" w:w="3135"/>
          </w:tcPr>
          <w:p>
            <w:pPr>
              <w:spacing w:after="40"/>
            </w:pPr>
            <w:r>
              <w:rPr>
                <w:sz w:val="20"/>
              </w:rPr>
              <w:t>Go · ECS Fargate</w:t>
            </w:r>
          </w:p>
        </w:tc>
        <w:tc>
          <w:tcPr>
            <w:tcW w:type="dxa" w:w="3135"/>
          </w:tcPr>
          <w:p>
            <w:pPr>
              <w:spacing w:after="40"/>
            </w:pPr>
            <w:r>
              <w:rPr>
                <w:sz w:val="20"/>
              </w:rPr>
              <w:t>Recibe emergencias, clasifica vía triage, asigna ambulancia</w:t>
            </w:r>
          </w:p>
        </w:tc>
      </w:tr>
      <w:tr>
        <w:tc>
          <w:tcPr>
            <w:tcW w:type="dxa" w:w="3135"/>
          </w:tcPr>
          <w:p>
            <w:pPr>
              <w:spacing w:after="40"/>
            </w:pPr>
            <w:r>
              <w:rPr>
                <w:sz w:val="20"/>
              </w:rPr>
              <w:t>triage-service</w:t>
            </w:r>
          </w:p>
        </w:tc>
        <w:tc>
          <w:tcPr>
            <w:tcW w:type="dxa" w:w="3135"/>
          </w:tcPr>
          <w:p>
            <w:pPr>
              <w:spacing w:after="40"/>
            </w:pPr>
            <w:r>
              <w:rPr>
                <w:sz w:val="20"/>
              </w:rPr>
              <w:t>Go · ECS Fargate</w:t>
            </w:r>
          </w:p>
        </w:tc>
        <w:tc>
          <w:tcPr>
            <w:tcW w:type="dxa" w:w="3135"/>
          </w:tcPr>
          <w:p>
            <w:pPr>
              <w:spacing w:after="40"/>
            </w:pPr>
            <w:r>
              <w:rPr>
                <w:sz w:val="20"/>
              </w:rPr>
              <w:t>Clasifica prioridad médica, persiste en PostgreSQL</w:t>
            </w:r>
          </w:p>
        </w:tc>
      </w:tr>
      <w:tr>
        <w:tc>
          <w:tcPr>
            <w:tcW w:type="dxa" w:w="3135"/>
          </w:tcPr>
          <w:p>
            <w:pPr>
              <w:spacing w:after="40"/>
            </w:pPr>
            <w:r>
              <w:rPr>
                <w:sz w:val="20"/>
              </w:rPr>
              <w:t>RDS PostgreSQL</w:t>
            </w:r>
          </w:p>
        </w:tc>
        <w:tc>
          <w:tcPr>
            <w:tcW w:type="dxa" w:w="3135"/>
          </w:tcPr>
          <w:p>
            <w:pPr>
              <w:spacing w:after="40"/>
            </w:pPr>
            <w:r>
              <w:rPr>
                <w:sz w:val="20"/>
              </w:rPr>
              <w:t>AWS RDS (db.t4g.micro)</w:t>
            </w:r>
          </w:p>
        </w:tc>
        <w:tc>
          <w:tcPr>
            <w:tcW w:type="dxa" w:w="3135"/>
          </w:tcPr>
          <w:p>
            <w:pPr>
              <w:spacing w:after="40"/>
            </w:pPr>
            <w:r>
              <w:rPr>
                <w:sz w:val="20"/>
              </w:rPr>
              <w:t>Persistencia de reportes y clasificaciones de triage</w:t>
            </w:r>
          </w:p>
        </w:tc>
      </w:tr>
      <w:tr>
        <w:tc>
          <w:tcPr>
            <w:tcW w:type="dxa" w:w="3135"/>
          </w:tcPr>
          <w:p>
            <w:pPr>
              <w:spacing w:after="40"/>
            </w:pPr>
            <w:r>
              <w:rPr>
                <w:sz w:val="20"/>
              </w:rPr>
              <w:t>OTel Collector</w:t>
            </w:r>
          </w:p>
        </w:tc>
        <w:tc>
          <w:tcPr>
            <w:tcW w:type="dxa" w:w="3135"/>
          </w:tcPr>
          <w:p>
            <w:pPr>
              <w:spacing w:after="40"/>
            </w:pPr>
            <w:r>
              <w:rPr>
                <w:sz w:val="20"/>
              </w:rPr>
              <w:t>ADOT (aws-otel-collector) · ECS Fargate</w:t>
            </w:r>
          </w:p>
        </w:tc>
        <w:tc>
          <w:tcPr>
            <w:tcW w:type="dxa" w:w="3135"/>
          </w:tcPr>
          <w:p>
            <w:pPr>
              <w:spacing w:after="40"/>
            </w:pPr>
            <w:r>
              <w:rPr>
                <w:sz w:val="20"/>
              </w:rPr>
              <w:t>Recibe OTLP, procesa, exporta a X-Ray y Prometheus</w:t>
            </w:r>
          </w:p>
        </w:tc>
      </w:tr>
      <w:tr>
        <w:tc>
          <w:tcPr>
            <w:tcW w:type="dxa" w:w="3135"/>
          </w:tcPr>
          <w:p>
            <w:pPr>
              <w:spacing w:after="40"/>
            </w:pPr>
            <w:r>
              <w:rPr>
                <w:sz w:val="20"/>
              </w:rPr>
              <w:t>Prometheus</w:t>
            </w:r>
          </w:p>
        </w:tc>
        <w:tc>
          <w:tcPr>
            <w:tcW w:type="dxa" w:w="3135"/>
          </w:tcPr>
          <w:p>
            <w:pPr>
              <w:spacing w:after="40"/>
            </w:pPr>
            <w:r>
              <w:rPr>
                <w:sz w:val="20"/>
              </w:rPr>
              <w:t>ECS Fargate</w:t>
            </w:r>
          </w:p>
        </w:tc>
        <w:tc>
          <w:tcPr>
            <w:tcW w:type="dxa" w:w="3135"/>
          </w:tcPr>
          <w:p>
            <w:pPr>
              <w:spacing w:after="40"/>
            </w:pPr>
            <w:r>
              <w:rPr>
                <w:sz w:val="20"/>
              </w:rPr>
              <w:t>Scrapea métricas de dispatch, triage y el Collector</w:t>
            </w:r>
          </w:p>
        </w:tc>
      </w:tr>
      <w:tr>
        <w:tc>
          <w:tcPr>
            <w:tcW w:type="dxa" w:w="3135"/>
          </w:tcPr>
          <w:p>
            <w:pPr>
              <w:spacing w:after="40"/>
            </w:pPr>
            <w:r>
              <w:rPr>
                <w:sz w:val="20"/>
              </w:rPr>
              <w:t>Grafana</w:t>
            </w:r>
          </w:p>
        </w:tc>
        <w:tc>
          <w:tcPr>
            <w:tcW w:type="dxa" w:w="3135"/>
          </w:tcPr>
          <w:p>
            <w:pPr>
              <w:spacing w:after="40"/>
            </w:pPr>
            <w:r>
              <w:rPr>
                <w:sz w:val="20"/>
              </w:rPr>
              <w:t>ECS Fargate</w:t>
            </w:r>
          </w:p>
        </w:tc>
        <w:tc>
          <w:tcPr>
            <w:tcW w:type="dxa" w:w="3135"/>
          </w:tcPr>
          <w:p>
            <w:pPr>
              <w:spacing w:after="40"/>
            </w:pPr>
            <w:r>
              <w:rPr>
                <w:sz w:val="20"/>
              </w:rPr>
              <w:t>Dashboard de SLIs, datasources Prometheus + CloudWatch</w:t>
            </w:r>
          </w:p>
        </w:tc>
      </w:tr>
      <w:tr>
        <w:tc>
          <w:tcPr>
            <w:tcW w:type="dxa" w:w="3135"/>
          </w:tcPr>
          <w:p>
            <w:pPr>
              <w:spacing w:after="40"/>
            </w:pPr>
            <w:r>
              <w:rPr>
                <w:sz w:val="20"/>
              </w:rPr>
              <w:t>AWS X-Ray</w:t>
            </w:r>
          </w:p>
        </w:tc>
        <w:tc>
          <w:tcPr>
            <w:tcW w:type="dxa" w:w="3135"/>
          </w:tcPr>
          <w:p>
            <w:pPr>
              <w:spacing w:after="40"/>
            </w:pPr>
            <w:r>
              <w:rPr>
                <w:sz w:val="20"/>
              </w:rPr>
              <w:t>Servicio administrado</w:t>
            </w:r>
          </w:p>
        </w:tc>
        <w:tc>
          <w:tcPr>
            <w:tcW w:type="dxa" w:w="3135"/>
          </w:tcPr>
          <w:p>
            <w:pPr>
              <w:spacing w:after="40"/>
            </w:pPr>
            <w:r>
              <w:rPr>
                <w:sz w:val="20"/>
              </w:rPr>
              <w:t>Backend de trazas distribuidas</w:t>
            </w:r>
          </w:p>
        </w:tc>
      </w:tr>
      <w:tr>
        <w:tc>
          <w:tcPr>
            <w:tcW w:type="dxa" w:w="3135"/>
          </w:tcPr>
          <w:p>
            <w:pPr>
              <w:spacing w:after="40"/>
            </w:pPr>
            <w:r>
              <w:rPr>
                <w:sz w:val="20"/>
              </w:rPr>
              <w:t>Application Load Balancer</w:t>
            </w:r>
          </w:p>
        </w:tc>
        <w:tc>
          <w:tcPr>
            <w:tcW w:type="dxa" w:w="3135"/>
          </w:tcPr>
          <w:p>
            <w:pPr>
              <w:spacing w:after="40"/>
            </w:pPr>
            <w:r>
              <w:rPr>
                <w:sz w:val="20"/>
              </w:rPr>
              <w:t>AWS ALB</w:t>
            </w:r>
          </w:p>
        </w:tc>
        <w:tc>
          <w:tcPr>
            <w:tcW w:type="dxa" w:w="3135"/>
          </w:tcPr>
          <w:p>
            <w:pPr>
              <w:spacing w:after="40"/>
            </w:pPr>
            <w:r>
              <w:rPr>
                <w:sz w:val="20"/>
              </w:rPr>
              <w:t>Enrutamiento por path (/dispatch*, /triage*) y puerto (Grafana :3000)</w:t>
            </w:r>
          </w:p>
        </w:tc>
      </w:tr>
    </w:tbl>
    <w:p/>
    <w:p>
      <w:pPr>
        <w:pStyle w:val="Heading2"/>
      </w:pPr>
      <w:r>
        <w:t>3.2 Flujo de una petición</w:t>
      </w:r>
    </w:p>
    <w:p>
      <w:r>
        <w:t>Un POST /dispatch entra por el ALB, llega a dispatch-service, que abre un span raíz (vía otelhttp), ejecuta el span custom findBestAmbulance, y llama a triage-service por HTTP con el cliente instrumentado de pkg/httpclient — el header traceparent propaga el contexto de traza W3C. triage-service continúa la misma traza: abre su propio span de servidor, ejecuta el span custom calculatePriority, y persiste en PostgreSQL a través de un driver envuelto con otelsql, generando spans hijos por cada query. Todos los spans se exportan por OTLP/gRPC al Collector, que los envía a X-Ray. En paralelo, cada línea de log de la request lleva el mismo trace_id/span_id, permitiendo pivotear entre logs y trazas.</w:t>
      </w:r>
    </w:p>
    <w:tbl>
      <w:tblPr>
        <w:tblW w:type="auto" w:w="0"/>
        <w:jc w:val="center"/>
        <w:tblLook w:firstColumn="1" w:firstRow="1" w:lastColumn="0" w:lastRow="0" w:noHBand="0" w:noVBand="1" w:val="04A0"/>
      </w:tblPr>
      <w:tblGrid>
        <w:gridCol w:w="9406"/>
      </w:tblGrid>
      <w:tr>
        <w:tc>
          <w:tcPr>
            <w:tcW w:type="dxa" w:w="9072"/>
            <w:shd w:fill="F2F2F2"/>
            <w:tcBorders>
              <w:top w:val="dashed" w:sz="12" w:color="999999"/>
              <w:left w:val="dashed" w:sz="12" w:color="999999"/>
              <w:bottom w:val="dashed" w:sz="12" w:color="999999"/>
              <w:right w:val="dashed" w:sz="12" w:color="999999"/>
            </w:tcBorders>
          </w:tcPr>
          <w:p>
            <w:pPr>
              <w:spacing w:before="2240" w:after="2240"/>
              <w:jc w:val="center"/>
            </w:pPr>
            <w:r>
              <w:rPr>
                <w:b/>
                <w:i/>
                <w:color w:val="666666"/>
                <w:sz w:val="22"/>
              </w:rPr>
              <w:t>[ ESPACIO RESERVADO PARA IMAGEN ]</w:t>
              <w:br/>
              <w:t>Diagrama de arquitectura completo</w:t>
            </w:r>
          </w:p>
          <w:p>
            <w:pPr>
              <w:jc w:val="center"/>
            </w:pPr>
            <w:r>
              <w:rPr>
                <w:i/>
                <w:color w:val="666666"/>
                <w:sz w:val="18"/>
              </w:rPr>
              <w:t>Exportar architecture.drawio (repo emergency-ops-infrastructure/docs/) como PNG/SVG e insertar aquí.</w:t>
            </w:r>
          </w:p>
        </w:tc>
      </w:tr>
    </w:tbl>
    <w:p/>
    <w:p>
      <w:pPr>
        <w:pStyle w:val="Heading2"/>
      </w:pPr>
      <w:r>
        <w:t>3.3 Infraestructura en AWS</w:t>
      </w:r>
    </w:p>
    <w:p>
      <w:r>
        <w:t>Toda la infraestructura está definida como código en Terraform (repo emergency-ops-infrastructure), con el estado remoto en S3 y locking en DynamoDB. La red es una VPC dedicada (10.0.0.0/16) con subnets públicas y privadas en 2 zonas de disponibilidad: las tareas de ECS Fargate y la RDS viven en subnets privadas sin IP pública, con salida a internet vía NAT Gateway; el ALB vive en las subnets públicas. La resolución de nombres entre servicios internos (Collector, Prometheus, dispatch, triage) usa AWS Cloud Map, ya que las IPs de las tareas Fargate cambian en cada despliegue.</w:t>
      </w:r>
    </w:p>
    <w:p>
      <w:pPr>
        <w:pStyle w:val="Heading1"/>
      </w:pPr>
      <w:r>
        <w:t>4. Decisiones de diseño</w:t>
      </w:r>
    </w:p>
    <w:p>
      <w:r>
        <w:t>Esta sección documenta las decisiones de arquitectura tomadas durante el proyecto, con su justificación y las alternativas consideradas.</w:t>
      </w:r>
    </w:p>
    <w:p>
      <w:pPr>
        <w:pStyle w:val="Heading2"/>
      </w:pPr>
      <w:r>
        <w:t>4.1 Persistencia: RDS PostgreSQL administrado</w:t>
      </w:r>
    </w:p>
    <w:p>
      <w:r>
        <w:t>Se evaluó correr Postgres en un contenedor dentro del mismo cluster ECS versus usar RDS administrado. Se optó por RDS (db.t4g.micro) porque es el estándar del ecosistema AWS, incluye backups y alta disponibilidad gestionados, y no aumenta la superficie operativa del cluster de aplicación. El costo adicional frente a un contenedor es marginal para el tamaño de instancia elegido.</w:t>
      </w:r>
    </w:p>
    <w:p>
      <w:pPr>
        <w:pStyle w:val="Heading2"/>
      </w:pPr>
      <w:r>
        <w:t>4.2 Backend de trazas: AWS X-Ray</w:t>
      </w:r>
    </w:p>
    <w:p>
      <w:r>
        <w:t>Entre Jaeger/Tempo self-hosted y AWS X-Ray, se eligió X-Ray por ser un servicio administrado con exporter nativo en el OTel Collector (awsxray), sin infraestructura adicional que mantener ni almacenamiento propio que dimensionar. La contrapartida es un acoplamiento mayor a AWS frente a un backend basado en OTLP puro; para este proyecto, ya desplegado íntegramente en AWS, ese acoplamiento no es un costo relevante.</w:t>
      </w:r>
    </w:p>
    <w:p>
      <w:pPr>
        <w:pStyle w:val="Heading2"/>
      </w:pPr>
      <w:r>
        <w:t>4.3 Métricas: Prometheus + Grafana self-hosted</w:t>
      </w:r>
    </w:p>
    <w:p>
      <w:r>
        <w:t>A diferencia de las trazas, para métricas se optó por self-hosted (Prometheus + Grafana en ECS Fargate) en vez de Amazon Managed Prometheus/Grafana. La razón es doble: el modelo de pricing de los servicios administrados de AWS para métricas es por volumen ingerido y por usuario, lo cual encarece un proyecto de bajo tráfico; y correr el stack uno mismo da más visibilidad de cómo funciona por dentro un pipeline de métricas real (scrape config, provisioning de dashboards, datasources).</w:t>
      </w:r>
    </w:p>
    <w:p>
      <w:pPr>
        <w:pStyle w:val="Heading2"/>
      </w:pPr>
      <w:r>
        <w:t>4.4 Entrega de configuración al OTel Collector</w:t>
      </w:r>
    </w:p>
    <w:p>
      <w:r>
        <w:t>La distribución ADOT del Collector no soporta el esquema ssm:// como config provider (se intentó inicialmente y falló con "unsupported scheme"). La solución adoptada fue inyectar el YAML de configuración como variable de entorno vía el mecanismo "secrets" de ECS (que sí soporta referenciar un parámetro de SSM directamente), y usar el config provider estándar env: del propio Collector para leerla. El mismo patrón se reutilizó para Prometheus y Grafana, cuyas imágenes oficiales tampoco leen configuración desde variables de entorno nativamente: se sobreescribió el entrypoint del contenedor para escribir el archivo de configuración a disco antes de arrancar el proceso real.</w:t>
      </w:r>
    </w:p>
    <w:p>
      <w:pPr>
        <w:pStyle w:val="Heading2"/>
      </w:pPr>
      <w:r>
        <w:t>4.5 Autenticación CI/CD: GitHub OIDC sin credenciales estáticas</w:t>
      </w:r>
    </w:p>
    <w:p>
      <w:r>
        <w:t>GitHub Actions se autentica contra AWS vía OpenID Connect (OIDC): un IAM Role de confianza federada, sin access keys de larga duración almacenadas como secreto en GitHub. Las credenciales que recibe cada ejecución del workflow son temporales (expiran en 1 hora) y quedan auditadas en CloudTrail. El trust policy del rol está scopeado por nombre de repositorio, rama y tipo de evento (push/pull_request) — un detalle no trivial: GitHub emite el claim sub del token con IDs numéricos inmutables del owner/repo (no solo el nombre), lo cual requirió ajustar el trust policy con wildcards para tolerar ese formato.</w:t>
      </w:r>
    </w:p>
    <w:p>
      <w:pPr>
        <w:pStyle w:val="Heading2"/>
      </w:pPr>
      <w:r>
        <w:t>4.6 Estructura del monorepo de Go (go.work)</w:t>
      </w:r>
    </w:p>
    <w:p>
      <w:r>
        <w:t>El código compartido entre servicios (setup de telemetría OTel, logger estructurado, cliente HTTP instrumentado) vive en un módulo Go local (pkg/) referenciado vía go.work, evitando duplicar la configuración de OpenTelemetry en cada servicio. Esta decisión tuvo una consecuencia práctica en el pipeline de build: el contexto de build de Docker tuvo que cambiarse de "directorio del servicio" a "raíz del repositorio", porque el módulo pkg/ es un directorio hermano invisible para Docker con un contexto más acotado.</w:t>
      </w:r>
    </w:p>
    <w:p>
      <w:pPr>
        <w:pStyle w:val="Heading2"/>
      </w:pPr>
      <w:r>
        <w:t>4.7 Logs estructurados vs. señal OTLP de logs</w:t>
      </w:r>
    </w:p>
    <w:p>
      <w:r>
        <w:t>Se descartó exportar logs vía OTLP a través del Collector, en favor de logs JSON estructurados escritos a stdout (con trace_id/span_id inyectados desde el contexto activo) recolectados por el driver awslogs de ECS hacia CloudWatch Logs. Esta opción evita añadir una cuarta señal al pipeline del Collector, aprovecha un mecanismo de recolección de logs que ECS ya provee de forma nativa, y de todos modos permite la correlación log↔traza usando trace_id como campo de búsqueda — que era el requisito real, no el transporte OTLP en sí mismo.</w:t>
      </w:r>
    </w:p>
    <w:p>
      <w:pPr>
        <w:pStyle w:val="Heading1"/>
      </w:pPr>
      <w:r>
        <w:t>5. Implementación de observabilidad (Fases 1–3)</w:t>
      </w:r>
    </w:p>
    <w:p>
      <w:pPr>
        <w:pStyle w:val="Heading2"/>
      </w:pPr>
      <w:r>
        <w:t>5.1 Trazas distribuidas</w:t>
      </w:r>
    </w:p>
    <w:p>
      <w:r>
        <w:t>Auto-instrumentación HTTP en servidor y cliente (paquete otelhttp de OpenTelemetry Contrib) en ambos servicios, propagación de contexto W3C Trace Context, auto-instrumentación de PostgreSQL vía otelsql (cada query es un span hijo, con métricas del pool de conexiones incluidas), y spans custom manuales en la lógica de negocio crítica: findBestAmbulance en dispatch-service y calculatePriority en triage-service. El resultado verificado end-to-end: una sola traza que cruza ambos servicios, con la estructura POST /dispatch → findBestAmbulance → HTTP client → POST /triage → calculatePriority → sql.conn.exec.</w:t>
      </w:r>
    </w:p>
    <w:p>
      <w:pPr>
        <w:pStyle w:val="Heading2"/>
      </w:pPr>
      <w:r>
        <w:t>5.2 Métricas</w:t>
      </w:r>
    </w:p>
    <w:p>
      <w:r>
        <w:t>Cada servicio expone un endpoint /metrics en formato Prometheus (exporter pull de OpenTelemetry Metrics SDK), deliberadamente fuera del mux instrumentado con otelhttp para que el propio scrape de Prometheus no genere spans de traza. Prometheus scrapea dispatch-service, triage-service y el endpoint de telemetría interna del Collector (puerto 8888) — este último es el que alimenta el panel de "errores del Collector" del dashboard.</w:t>
      </w:r>
    </w:p>
    <w:p>
      <w:pPr>
        <w:pStyle w:val="Heading2"/>
      </w:pPr>
      <w:r>
        <w:t>5.3 Logs correlacionados</w:t>
      </w:r>
    </w:p>
    <w:p>
      <w:r>
        <w:t>Logging estructurado JSON (log/slog de Go) en el nivel de los handlers HTTP, en el camino exitoso y en el de error, incluyendo trace_id/span_id extraídos del contexto activo cuando existe un span. Verificado en producción: el mismo trace_id aparece en los logs de dispatch-service y triage-service para una misma request, permitiendo pivotear de una línea de log a la traza completa en CloudWatch Logs Insights o Grafana Explorer.</w:t>
      </w:r>
    </w:p>
    <w:p>
      <w:pPr>
        <w:pStyle w:val="Heading2"/>
      </w:pPr>
      <w:r>
        <w:t>5.4 Visualización</w:t>
      </w:r>
    </w:p>
    <w:p>
      <w:r>
        <w:t>El dashboard "Emergency Ops - SLIs" en Grafana tiene 6 paneles: tasa de requests (tráfico), porcentaje de error, latencia p99, conexiones abiertas a la base de datos (saturación), CPU de los contenedores ECS (vía datasource nativo de CloudWatch/Container Insights, más preciso que una métrica de proceso), y errores del Collector (spans rechazados/fallidos en el receiver). Todos los paneles fueron verificados contra datos reales generados con tráfico de prueba, no solo validados como JSON bien formado.</w:t>
      </w:r>
    </w:p>
    <w:tbl>
      <w:tblPr>
        <w:tblW w:type="auto" w:w="0"/>
        <w:jc w:val="center"/>
        <w:tblLook w:firstColumn="1" w:firstRow="1" w:lastColumn="0" w:lastRow="0" w:noHBand="0" w:noVBand="1" w:val="04A0"/>
      </w:tblPr>
      <w:tblGrid>
        <w:gridCol w:w="9406"/>
      </w:tblGrid>
      <w:tr>
        <w:tc>
          <w:tcPr>
            <w:tcW w:type="dxa" w:w="9072"/>
            <w:shd w:fill="F2F2F2"/>
            <w:tcBorders>
              <w:top w:val="dashed" w:sz="12" w:color="999999"/>
              <w:left w:val="dashed" w:sz="12" w:color="999999"/>
              <w:bottom w:val="dashed" w:sz="12" w:color="999999"/>
              <w:right w:val="dashed" w:sz="12" w:color="999999"/>
            </w:tcBorders>
          </w:tcPr>
          <w:p>
            <w:pPr>
              <w:spacing w:before="2240" w:after="2240"/>
              <w:jc w:val="center"/>
            </w:pPr>
            <w:r>
              <w:rPr>
                <w:b/>
                <w:i/>
                <w:color w:val="666666"/>
                <w:sz w:val="22"/>
              </w:rPr>
              <w:t>[ ESPACIO RESERVADO PARA IMAGEN ]</w:t>
              <w:br/>
              <w:t>Dashboard de Grafana — "Emergency Ops - SLIs"</w:t>
            </w:r>
          </w:p>
          <w:p>
            <w:pPr>
              <w:jc w:val="center"/>
            </w:pPr>
            <w:r>
              <w:rPr>
                <w:i/>
                <w:color w:val="666666"/>
                <w:sz w:val="18"/>
              </w:rPr>
              <w:t>Captura de pantalla de los 6 paneles con datos reales.</w:t>
            </w:r>
          </w:p>
        </w:tc>
      </w:tr>
    </w:tbl>
    <w:p/>
    <w:tbl>
      <w:tblPr>
        <w:tblW w:type="auto" w:w="0"/>
        <w:jc w:val="center"/>
        <w:tblLook w:firstColumn="1" w:firstRow="1" w:lastColumn="0" w:lastRow="0" w:noHBand="0" w:noVBand="1" w:val="04A0"/>
      </w:tblPr>
      <w:tblGrid>
        <w:gridCol w:w="9406"/>
      </w:tblGrid>
      <w:tr>
        <w:tc>
          <w:tcPr>
            <w:tcW w:type="dxa" w:w="9072"/>
            <w:shd w:fill="F2F2F2"/>
            <w:tcBorders>
              <w:top w:val="dashed" w:sz="12" w:color="999999"/>
              <w:left w:val="dashed" w:sz="12" w:color="999999"/>
              <w:bottom w:val="dashed" w:sz="12" w:color="999999"/>
              <w:right w:val="dashed" w:sz="12" w:color="999999"/>
            </w:tcBorders>
          </w:tcPr>
          <w:p>
            <w:pPr>
              <w:spacing w:before="2240" w:after="2240"/>
              <w:jc w:val="center"/>
            </w:pPr>
            <w:r>
              <w:rPr>
                <w:b/>
                <w:i/>
                <w:color w:val="666666"/>
                <w:sz w:val="22"/>
              </w:rPr>
              <w:t>[ ESPACIO RESERVADO PARA IMAGEN ]</w:t>
              <w:br/>
              <w:t>Vista de una traza distribuida en AWS X-Ray</w:t>
            </w:r>
          </w:p>
          <w:p>
            <w:pPr>
              <w:jc w:val="center"/>
            </w:pPr>
            <w:r>
              <w:rPr>
                <w:i/>
                <w:color w:val="666666"/>
                <w:sz w:val="18"/>
              </w:rPr>
              <w:t>Captura mostrando los spans de dispatch-service y triage-service dentro de una misma traza.</w:t>
            </w:r>
          </w:p>
        </w:tc>
      </w:tr>
    </w:tbl>
    <w:p/>
    <w:p>
      <w:pPr>
        <w:pStyle w:val="Heading1"/>
      </w:pPr>
      <w:r>
        <w:t>6. Análisis de overhead (Fase 4)</w:t>
      </w:r>
    </w:p>
    <w:p>
      <w:pPr>
        <w:pStyle w:val="Heading2"/>
      </w:pPr>
      <w:r>
        <w:t>6.1 Metodología</w:t>
      </w:r>
    </w:p>
    <w:p>
      <w:r>
        <w:t>Se comparó triage-service en dos versiones construidas desde el mismo repositorio en distintos commits: una versión baseline sin OpenTelemetry (HTTP + acceso a Postgres) y la versión instrumentada (HEAD), con OTel SDK completo — auto-instrumentación HTTP, auto-instrumentación DB, un span custom, logs correlacionados, y exportación OTLP real a un Collector local (no a un endpoint caído, para que el overhead medido incluya el costo real de exportar y no reintentos fallidos).</w:t>
      </w:r>
    </w:p>
    <w:p>
      <w:r>
        <w:t>Se eligió triage-service (no dispatch-service) porque es el servicio con base de datos real y span custom, y porque dispatch-service tiene una limitación de dominio — el pool de ambulancias se agota bajo carga sostenida al no existir un flujo de liberación — que sesga cualquier comparación de throughput entre versiones.</w:t>
      </w:r>
    </w:p>
    <w:p>
      <w:r>
        <w:t>Ambas versiones corrieron en contenedores Docker idénticos (misma imagen base, mismo Postgres 16 recién creado, misma red aislada), en la misma máquina, de forma secuencial. Carga generada con k6: rampa de 0 a 20 VUs en 10s, sostenido en 20 VUs por 30s, baja a 0 en 5s — cada request un POST /triage con un report_id único. Métricas capturadas: percentiles de http_req_duration (k6) y CPU%/memoria de docker stats muestreado cada 2 segundos durante toda la corrida.</w:t>
      </w:r>
    </w:p>
    <w:p>
      <w:pPr>
        <w:pStyle w:val="Heading2"/>
      </w:pPr>
      <w:r>
        <w:t>6.2 Resultados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232F3E"/>
          </w:tcPr>
          <w:p>
            <w:r>
              <w:rPr>
                <w:b/>
                <w:color w:val="FFFFFF"/>
                <w:sz w:val="20"/>
              </w:rPr>
              <w:t>Métrica</w:t>
            </w:r>
          </w:p>
        </w:tc>
        <w:tc>
          <w:tcPr>
            <w:tcW w:type="dxa" w:w="2351"/>
            <w:shd w:fill="232F3E"/>
          </w:tcPr>
          <w:p>
            <w:r>
              <w:rPr>
                <w:b/>
                <w:color w:val="FFFFFF"/>
                <w:sz w:val="20"/>
              </w:rPr>
              <w:t>Baseline (sin OTel)</w:t>
            </w:r>
          </w:p>
        </w:tc>
        <w:tc>
          <w:tcPr>
            <w:tcW w:type="dxa" w:w="2351"/>
            <w:shd w:fill="232F3E"/>
          </w:tcPr>
          <w:p>
            <w:r>
              <w:rPr>
                <w:b/>
                <w:color w:val="FFFFFF"/>
                <w:sz w:val="20"/>
              </w:rPr>
              <w:t>Instrumentado (con OTel)</w:t>
            </w:r>
          </w:p>
        </w:tc>
        <w:tc>
          <w:tcPr>
            <w:tcW w:type="dxa" w:w="2351"/>
            <w:shd w:fill="232F3E"/>
          </w:tcPr>
          <w:p>
            <w:r>
              <w:rPr>
                <w:b/>
                <w:color w:val="FFFFFF"/>
                <w:sz w:val="20"/>
              </w:rPr>
              <w:t>Overhead</w:t>
            </w:r>
          </w:p>
        </w:tc>
      </w:tr>
      <w:tr>
        <w:tc>
          <w:tcPr>
            <w:tcW w:type="dxa" w:w="2351"/>
          </w:tcPr>
          <w:p>
            <w:pPr>
              <w:spacing w:after="40"/>
            </w:pPr>
            <w:r>
              <w:rPr>
                <w:sz w:val="20"/>
              </w:rPr>
              <w:t>Requests completados (45s)</w:t>
            </w:r>
          </w:p>
        </w:tc>
        <w:tc>
          <w:tcPr>
            <w:tcW w:type="dxa" w:w="2351"/>
          </w:tcPr>
          <w:p>
            <w:pPr>
              <w:spacing w:after="40"/>
            </w:pPr>
            <w:r>
              <w:rPr>
                <w:sz w:val="20"/>
              </w:rPr>
              <w:t>13,549</w:t>
            </w:r>
          </w:p>
        </w:tc>
        <w:tc>
          <w:tcPr>
            <w:tcW w:type="dxa" w:w="2351"/>
          </w:tcPr>
          <w:p>
            <w:pPr>
              <w:spacing w:after="40"/>
            </w:pPr>
            <w:r>
              <w:rPr>
                <w:sz w:val="20"/>
              </w:rPr>
              <w:t>12,487</w:t>
            </w:r>
          </w:p>
        </w:tc>
        <w:tc>
          <w:tcPr>
            <w:tcW w:type="dxa" w:w="2351"/>
          </w:tcPr>
          <w:p>
            <w:pPr>
              <w:spacing w:after="40"/>
            </w:pPr>
            <w:r>
              <w:rPr>
                <w:sz w:val="20"/>
              </w:rPr>
              <w:t>-7.8% throughput</w:t>
            </w:r>
          </w:p>
        </w:tc>
      </w:tr>
      <w:tr>
        <w:tc>
          <w:tcPr>
            <w:tcW w:type="dxa" w:w="2351"/>
          </w:tcPr>
          <w:p>
            <w:pPr>
              <w:spacing w:after="40"/>
            </w:pPr>
            <w:r>
              <w:rPr>
                <w:sz w:val="20"/>
              </w:rPr>
              <w:t>Throughput (req/s)</w:t>
            </w:r>
          </w:p>
        </w:tc>
        <w:tc>
          <w:tcPr>
            <w:tcW w:type="dxa" w:w="2351"/>
          </w:tcPr>
          <w:p>
            <w:pPr>
              <w:spacing w:after="40"/>
            </w:pPr>
            <w:r>
              <w:rPr>
                <w:sz w:val="20"/>
              </w:rPr>
              <w:t>301.1</w:t>
            </w:r>
          </w:p>
        </w:tc>
        <w:tc>
          <w:tcPr>
            <w:tcW w:type="dxa" w:w="2351"/>
          </w:tcPr>
          <w:p>
            <w:pPr>
              <w:spacing w:after="40"/>
            </w:pPr>
            <w:r>
              <w:rPr>
                <w:sz w:val="20"/>
              </w:rPr>
              <w:t>277.4</w:t>
            </w:r>
          </w:p>
        </w:tc>
        <w:tc>
          <w:tcPr>
            <w:tcW w:type="dxa" w:w="2351"/>
          </w:tcPr>
          <w:p>
            <w:pPr>
              <w:spacing w:after="40"/>
            </w:pPr>
            <w:r>
              <w:rPr>
                <w:sz w:val="20"/>
              </w:rPr>
              <w:t>-7.9%</w:t>
            </w:r>
          </w:p>
        </w:tc>
      </w:tr>
      <w:tr>
        <w:tc>
          <w:tcPr>
            <w:tcW w:type="dxa" w:w="2351"/>
          </w:tcPr>
          <w:p>
            <w:pPr>
              <w:spacing w:after="40"/>
            </w:pPr>
            <w:r>
              <w:rPr>
                <w:sz w:val="20"/>
              </w:rPr>
              <w:t>Latencia promedio</w:t>
            </w:r>
          </w:p>
        </w:tc>
        <w:tc>
          <w:tcPr>
            <w:tcW w:type="dxa" w:w="2351"/>
          </w:tcPr>
          <w:p>
            <w:pPr>
              <w:spacing w:after="40"/>
            </w:pPr>
            <w:r>
              <w:rPr>
                <w:sz w:val="20"/>
              </w:rPr>
              <w:t>54.72 ms</w:t>
            </w:r>
          </w:p>
        </w:tc>
        <w:tc>
          <w:tcPr>
            <w:tcW w:type="dxa" w:w="2351"/>
          </w:tcPr>
          <w:p>
            <w:pPr>
              <w:spacing w:after="40"/>
            </w:pPr>
            <w:r>
              <w:rPr>
                <w:sz w:val="20"/>
              </w:rPr>
              <w:t>59.38 ms</w:t>
            </w:r>
          </w:p>
        </w:tc>
        <w:tc>
          <w:tcPr>
            <w:tcW w:type="dxa" w:w="2351"/>
          </w:tcPr>
          <w:p>
            <w:pPr>
              <w:spacing w:after="40"/>
            </w:pPr>
            <w:r>
              <w:rPr>
                <w:sz w:val="20"/>
              </w:rPr>
              <w:t>+4.66 ms (+8.5%)</w:t>
            </w:r>
          </w:p>
        </w:tc>
      </w:tr>
      <w:tr>
        <w:tc>
          <w:tcPr>
            <w:tcW w:type="dxa" w:w="2351"/>
          </w:tcPr>
          <w:p>
            <w:pPr>
              <w:spacing w:after="40"/>
            </w:pPr>
            <w:r>
              <w:rPr>
                <w:sz w:val="20"/>
              </w:rPr>
              <w:t>Latencia p90</w:t>
            </w:r>
          </w:p>
        </w:tc>
        <w:tc>
          <w:tcPr>
            <w:tcW w:type="dxa" w:w="2351"/>
          </w:tcPr>
          <w:p>
            <w:pPr>
              <w:spacing w:after="40"/>
            </w:pPr>
            <w:r>
              <w:rPr>
                <w:sz w:val="20"/>
              </w:rPr>
              <w:t>119.37 ms</w:t>
            </w:r>
          </w:p>
        </w:tc>
        <w:tc>
          <w:tcPr>
            <w:tcW w:type="dxa" w:w="2351"/>
          </w:tcPr>
          <w:p>
            <w:pPr>
              <w:spacing w:after="40"/>
            </w:pPr>
            <w:r>
              <w:rPr>
                <w:sz w:val="20"/>
              </w:rPr>
              <w:t>126.13 ms</w:t>
            </w:r>
          </w:p>
        </w:tc>
        <w:tc>
          <w:tcPr>
            <w:tcW w:type="dxa" w:w="2351"/>
          </w:tcPr>
          <w:p>
            <w:pPr>
              <w:spacing w:after="40"/>
            </w:pPr>
            <w:r>
              <w:rPr>
                <w:sz w:val="20"/>
              </w:rPr>
              <w:t>+6.76 ms (+5.7%)</w:t>
            </w:r>
          </w:p>
        </w:tc>
      </w:tr>
      <w:tr>
        <w:tc>
          <w:tcPr>
            <w:tcW w:type="dxa" w:w="2351"/>
          </w:tcPr>
          <w:p>
            <w:pPr>
              <w:spacing w:after="40"/>
            </w:pPr>
            <w:r>
              <w:rPr>
                <w:sz w:val="20"/>
              </w:rPr>
              <w:t>Latencia p95</w:t>
            </w:r>
          </w:p>
        </w:tc>
        <w:tc>
          <w:tcPr>
            <w:tcW w:type="dxa" w:w="2351"/>
          </w:tcPr>
          <w:p>
            <w:pPr>
              <w:spacing w:after="40"/>
            </w:pPr>
            <w:r>
              <w:rPr>
                <w:sz w:val="20"/>
              </w:rPr>
              <w:t>143.63 ms</w:t>
            </w:r>
          </w:p>
        </w:tc>
        <w:tc>
          <w:tcPr>
            <w:tcW w:type="dxa" w:w="2351"/>
          </w:tcPr>
          <w:p>
            <w:pPr>
              <w:spacing w:after="40"/>
            </w:pPr>
            <w:r>
              <w:rPr>
                <w:sz w:val="20"/>
              </w:rPr>
              <w:t>148.91 ms</w:t>
            </w:r>
          </w:p>
        </w:tc>
        <w:tc>
          <w:tcPr>
            <w:tcW w:type="dxa" w:w="2351"/>
          </w:tcPr>
          <w:p>
            <w:pPr>
              <w:spacing w:after="40"/>
            </w:pPr>
            <w:r>
              <w:rPr>
                <w:sz w:val="20"/>
              </w:rPr>
              <w:t>+5.28 ms (+3.7%)</w:t>
            </w:r>
          </w:p>
        </w:tc>
      </w:tr>
      <w:tr>
        <w:tc>
          <w:tcPr>
            <w:tcW w:type="dxa" w:w="2351"/>
          </w:tcPr>
          <w:p>
            <w:pPr>
              <w:spacing w:after="40"/>
            </w:pPr>
            <w:r>
              <w:rPr>
                <w:sz w:val="20"/>
              </w:rPr>
              <w:t>Latencia p99</w:t>
            </w:r>
          </w:p>
        </w:tc>
        <w:tc>
          <w:tcPr>
            <w:tcW w:type="dxa" w:w="2351"/>
          </w:tcPr>
          <w:p>
            <w:pPr>
              <w:spacing w:after="40"/>
            </w:pPr>
            <w:r>
              <w:rPr>
                <w:sz w:val="20"/>
              </w:rPr>
              <w:t>197.86 ms</w:t>
            </w:r>
          </w:p>
        </w:tc>
        <w:tc>
          <w:tcPr>
            <w:tcW w:type="dxa" w:w="2351"/>
          </w:tcPr>
          <w:p>
            <w:pPr>
              <w:spacing w:after="40"/>
            </w:pPr>
            <w:r>
              <w:rPr>
                <w:sz w:val="20"/>
              </w:rPr>
              <w:t>209.46 ms</w:t>
            </w:r>
          </w:p>
        </w:tc>
        <w:tc>
          <w:tcPr>
            <w:tcW w:type="dxa" w:w="2351"/>
          </w:tcPr>
          <w:p>
            <w:pPr>
              <w:spacing w:after="40"/>
            </w:pPr>
            <w:r>
              <w:rPr>
                <w:sz w:val="20"/>
              </w:rPr>
              <w:t>+11.6 ms (+5.9%)</w:t>
            </w:r>
          </w:p>
        </w:tc>
      </w:tr>
      <w:tr>
        <w:tc>
          <w:tcPr>
            <w:tcW w:type="dxa" w:w="2351"/>
          </w:tcPr>
          <w:p>
            <w:pPr>
              <w:spacing w:after="40"/>
            </w:pPr>
            <w:r>
              <w:rPr>
                <w:sz w:val="20"/>
              </w:rPr>
              <w:t>CPU promedio (contenedor)</w:t>
            </w:r>
          </w:p>
        </w:tc>
        <w:tc>
          <w:tcPr>
            <w:tcW w:type="dxa" w:w="2351"/>
          </w:tcPr>
          <w:p>
            <w:pPr>
              <w:spacing w:after="40"/>
            </w:pPr>
            <w:r>
              <w:rPr>
                <w:sz w:val="20"/>
              </w:rPr>
              <w:t>157.6%</w:t>
            </w:r>
          </w:p>
        </w:tc>
        <w:tc>
          <w:tcPr>
            <w:tcW w:type="dxa" w:w="2351"/>
          </w:tcPr>
          <w:p>
            <w:pPr>
              <w:spacing w:after="40"/>
            </w:pPr>
            <w:r>
              <w:rPr>
                <w:sz w:val="20"/>
              </w:rPr>
              <w:t>161.5%</w:t>
            </w:r>
          </w:p>
        </w:tc>
        <w:tc>
          <w:tcPr>
            <w:tcW w:type="dxa" w:w="2351"/>
          </w:tcPr>
          <w:p>
            <w:pPr>
              <w:spacing w:after="40"/>
            </w:pPr>
            <w:r>
              <w:rPr>
                <w:sz w:val="20"/>
              </w:rPr>
              <w:t>+3.9 pp (+2.5%)</w:t>
            </w:r>
          </w:p>
        </w:tc>
      </w:tr>
      <w:tr>
        <w:tc>
          <w:tcPr>
            <w:tcW w:type="dxa" w:w="2351"/>
          </w:tcPr>
          <w:p>
            <w:pPr>
              <w:spacing w:after="40"/>
            </w:pPr>
            <w:r>
              <w:rPr>
                <w:sz w:val="20"/>
              </w:rPr>
              <w:t>CPU pico</w:t>
            </w:r>
          </w:p>
        </w:tc>
        <w:tc>
          <w:tcPr>
            <w:tcW w:type="dxa" w:w="2351"/>
          </w:tcPr>
          <w:p>
            <w:pPr>
              <w:spacing w:after="40"/>
            </w:pPr>
            <w:r>
              <w:rPr>
                <w:sz w:val="20"/>
              </w:rPr>
              <w:t>210.9%</w:t>
            </w:r>
          </w:p>
        </w:tc>
        <w:tc>
          <w:tcPr>
            <w:tcW w:type="dxa" w:w="2351"/>
          </w:tcPr>
          <w:p>
            <w:pPr>
              <w:spacing w:after="40"/>
            </w:pPr>
            <w:r>
              <w:rPr>
                <w:sz w:val="20"/>
              </w:rPr>
              <w:t>206.0%</w:t>
            </w:r>
          </w:p>
        </w:tc>
        <w:tc>
          <w:tcPr>
            <w:tcW w:type="dxa" w:w="2351"/>
          </w:tcPr>
          <w:p>
            <w:pPr>
              <w:spacing w:after="40"/>
            </w:pPr>
            <w:r>
              <w:rPr>
                <w:sz w:val="20"/>
              </w:rPr>
              <w:t>-4.9 pp (ruido de muestreo)</w:t>
            </w:r>
          </w:p>
        </w:tc>
      </w:tr>
      <w:tr>
        <w:tc>
          <w:tcPr>
            <w:tcW w:type="dxa" w:w="2351"/>
          </w:tcPr>
          <w:p>
            <w:pPr>
              <w:spacing w:after="40"/>
            </w:pPr>
            <w:r>
              <w:rPr>
                <w:sz w:val="20"/>
              </w:rPr>
              <w:t>Memoria promedio</w:t>
            </w:r>
          </w:p>
        </w:tc>
        <w:tc>
          <w:tcPr>
            <w:tcW w:type="dxa" w:w="2351"/>
          </w:tcPr>
          <w:p>
            <w:pPr>
              <w:spacing w:after="40"/>
            </w:pPr>
            <w:r>
              <w:rPr>
                <w:sz w:val="20"/>
              </w:rPr>
              <w:t>11.77 MiB</w:t>
            </w:r>
          </w:p>
        </w:tc>
        <w:tc>
          <w:tcPr>
            <w:tcW w:type="dxa" w:w="2351"/>
          </w:tcPr>
          <w:p>
            <w:pPr>
              <w:spacing w:after="40"/>
            </w:pPr>
            <w:r>
              <w:rPr>
                <w:sz w:val="20"/>
              </w:rPr>
              <w:t>14.53 MiB</w:t>
            </w:r>
          </w:p>
        </w:tc>
        <w:tc>
          <w:tcPr>
            <w:tcW w:type="dxa" w:w="2351"/>
          </w:tcPr>
          <w:p>
            <w:pPr>
              <w:spacing w:after="40"/>
            </w:pPr>
            <w:r>
              <w:rPr>
                <w:sz w:val="20"/>
              </w:rPr>
              <w:t>+2.76 MiB (+23.4%)</w:t>
            </w:r>
          </w:p>
        </w:tc>
      </w:tr>
      <w:tr>
        <w:tc>
          <w:tcPr>
            <w:tcW w:type="dxa" w:w="2351"/>
          </w:tcPr>
          <w:p>
            <w:pPr>
              <w:spacing w:after="40"/>
            </w:pPr>
            <w:r>
              <w:rPr>
                <w:sz w:val="20"/>
              </w:rPr>
              <w:t>Memoria pico</w:t>
            </w:r>
          </w:p>
        </w:tc>
        <w:tc>
          <w:tcPr>
            <w:tcW w:type="dxa" w:w="2351"/>
          </w:tcPr>
          <w:p>
            <w:pPr>
              <w:spacing w:after="40"/>
            </w:pPr>
            <w:r>
              <w:rPr>
                <w:sz w:val="20"/>
              </w:rPr>
              <w:t>12.57 MiB</w:t>
            </w:r>
          </w:p>
        </w:tc>
        <w:tc>
          <w:tcPr>
            <w:tcW w:type="dxa" w:w="2351"/>
          </w:tcPr>
          <w:p>
            <w:pPr>
              <w:spacing w:after="40"/>
            </w:pPr>
            <w:r>
              <w:rPr>
                <w:sz w:val="20"/>
              </w:rPr>
              <w:t>17.17 MiB</w:t>
            </w:r>
          </w:p>
        </w:tc>
        <w:tc>
          <w:tcPr>
            <w:tcW w:type="dxa" w:w="2351"/>
          </w:tcPr>
          <w:p>
            <w:pPr>
              <w:spacing w:after="40"/>
            </w:pPr>
            <w:r>
              <w:rPr>
                <w:sz w:val="20"/>
              </w:rPr>
              <w:t>+4.60 MiB (+36.6%)</w:t>
            </w:r>
          </w:p>
        </w:tc>
      </w:tr>
      <w:tr>
        <w:tc>
          <w:tcPr>
            <w:tcW w:type="dxa" w:w="2351"/>
          </w:tcPr>
          <w:p>
            <w:pPr>
              <w:spacing w:after="40"/>
            </w:pPr>
            <w:r>
              <w:rPr>
                <w:sz w:val="20"/>
              </w:rPr>
              <w:t>Tasa de error</w:t>
            </w:r>
          </w:p>
        </w:tc>
        <w:tc>
          <w:tcPr>
            <w:tcW w:type="dxa" w:w="2351"/>
          </w:tcPr>
          <w:p>
            <w:pPr>
              <w:spacing w:after="40"/>
            </w:pPr>
            <w:r>
              <w:rPr>
                <w:sz w:val="20"/>
              </w:rPr>
              <w:t>0%</w:t>
            </w:r>
          </w:p>
        </w:tc>
        <w:tc>
          <w:tcPr>
            <w:tcW w:type="dxa" w:w="2351"/>
          </w:tcPr>
          <w:p>
            <w:pPr>
              <w:spacing w:after="40"/>
            </w:pPr>
            <w:r>
              <w:rPr>
                <w:sz w:val="20"/>
              </w:rPr>
              <w:t>0%</w:t>
            </w:r>
          </w:p>
        </w:tc>
        <w:tc>
          <w:tcPr>
            <w:tcW w:type="dxa" w:w="2351"/>
          </w:tcPr>
          <w:p>
            <w:pPr>
              <w:spacing w:after="40"/>
            </w:pPr>
            <w:r>
              <w:rPr>
                <w:sz w:val="20"/>
              </w:rPr>
              <w:t>sin cambio</w:t>
            </w:r>
          </w:p>
        </w:tc>
      </w:tr>
    </w:tbl>
    <w:p/>
    <w:p>
      <w:pPr>
        <w:pStyle w:val="Heading2"/>
      </w:pPr>
      <w:r>
        <w:t>6.3 Interpretación</w:t>
      </w:r>
    </w:p>
    <w:p>
      <w:pPr>
        <w:pStyle w:val="ListBullet"/>
      </w:pPr>
      <w:r>
        <w:t>Latencia: overhead de un solo dígito en p99 (~6%), consistente con auto-instrumentación HTTP+DB con exportación por lotes (processor batch) — el SDK no bloquea el request path para exportar, solo agrega el costo de crear/cerrar spans y serializar atributos.</w:t>
      </w:r>
    </w:p>
    <w:p>
      <w:pPr>
        <w:pStyle w:val="ListBullet"/>
      </w:pPr>
      <w:r>
        <w:t>CPU: overhead marginal (~2.5%) en promedio; el pico más alto del baseline es ruido de muestreo (docker stats con intervalo de 2s en una corrida de 45s captura pocas muestras), no una tendencia real.</w:t>
      </w:r>
    </w:p>
    <w:p>
      <w:pPr>
        <w:pStyle w:val="ListBullet"/>
      </w:pPr>
      <w:r>
        <w:t>Memoria: el overhead relativo (+23% promedio, +37% pico) es el más notorio, pero ambos procesos parten de una base muy chica (~12 MiB); el SDK de OTel añade unos pocos MiB fijos (buffers de spans, batching, exportador gRPC) que pesan proporcionalmente mucho sobre una base tan pequeña. En términos absolutos (~3–5 MiB) es irrelevante frente a los 512 MB asignados a la tarea de triage en ECS.</w:t>
      </w:r>
    </w:p>
    <w:p>
      <w:pPr>
        <w:pStyle w:val="ListBullet"/>
      </w:pPr>
      <w:r>
        <w:t>Throughput: la caída de ~8% a la misma cantidad de VUs es coherente con el aumento de latencia por request (a más tiempo por request, menos requests/s con VUs fijos) — no indica saturación ni errores nuevos.</w:t>
      </w:r>
    </w:p>
    <w:p>
      <w:r>
        <w:t>Conclusión de la Fase 4: con exportación funcionando, el overhead de la instrumentación OTel completa es de un solo dígito en latencia y CPU, y de pocos MiB de memoria en términos absolutos. Para el tamaño de task definido en ECS, el overhead medido no justifica cambiar el dimensionamiento de recursos.</w:t>
      </w:r>
    </w:p>
    <w:p>
      <w:pPr>
        <w:pStyle w:val="Heading1"/>
      </w:pPr>
      <w:r>
        <w:t>7. Limitaciones conocidas</w:t>
      </w:r>
    </w:p>
    <w:p>
      <w:pPr>
        <w:pStyle w:val="ListBullet"/>
      </w:pPr>
      <w:r>
        <w:t>dispatch-service no libera ambulancias tras completar el ETA — bajo carga sostenida el pool se agota (limitación de dominio, no de la instrumentación; motivó medir el overhead contra triage-service en su lugar).</w:t>
      </w:r>
    </w:p>
    <w:p>
      <w:pPr>
        <w:pStyle w:val="ListBullet"/>
      </w:pPr>
      <w:r>
        <w:t>El campo incident_latitude/incident_longitude a veces devuelve 0 en la respuesta de POST /dispatch — posible mismatch de nombre de campo en el DTO, pendiente de investigar.</w:t>
      </w:r>
    </w:p>
    <w:p>
      <w:pPr>
        <w:pStyle w:val="ListBullet"/>
      </w:pPr>
      <w:r>
        <w:t>El ALB no tiene HTTPS ni WAF configurados — aceptable para el ambiente de desarrollo actual, no para un despliegue de producción.</w:t>
      </w:r>
    </w:p>
    <w:p>
      <w:pPr>
        <w:pStyle w:val="ListBullet"/>
      </w:pPr>
      <w:r>
        <w:t>Cloud Map (service discovery interno) no tiene un ícono dedicado en la librería de formas AWS4 de draw.io, quedó documentado como nota de texto en el diagrama de arquitectura.</w:t>
      </w:r>
    </w:p>
    <w:p>
      <w:pPr>
        <w:pStyle w:val="Heading1"/>
      </w:pPr>
      <w:r>
        <w:t>8. Conclusiones</w:t>
      </w:r>
    </w:p>
    <w:p>
      <w:r>
        <w:t>El proyecto cumplió las cuatro fases planteadas: instrumentación completa de los tres pilares de observabilidad en ambos microservicios, despliegue de un OTel Collector como punto central de recolección y procesamiento, configuración de backends de trazas y métricas con visualización verificada contra datos reales, y un análisis cuantitativo — no asumido — del overhead que introduce la instrumentación.</w:t>
      </w:r>
    </w:p>
    <w:p>
      <w:r>
        <w:t>Más allá del resultado final, el proceso de despliegue expuso varios problemas reales de integración entre OpenTelemetry, ECS Fargate y los servicios administrados de AWS (el esquema ssm:// no soportado por el Collector, la necesidad de registrar servicios en Cloud Map para que Prometheus los pudiera scrapear, el anti-patrón de mezclar reglas de security group inline con reglas sueltas en Terraform) que no suelen documentarse en tutoriales, y que representan buena parte del valor práctico de este trabajo.</w:t>
      </w:r>
    </w:p>
    <w:p>
      <w:pPr>
        <w:pStyle w:val="Heading1"/>
      </w:pPr>
      <w:r>
        <w:t>9. Referencias</w:t>
      </w:r>
    </w:p>
    <w:p>
      <w:pPr>
        <w:pStyle w:val="ListBullet"/>
      </w:pPr>
      <w:r>
        <w:t>Código de los servicios: github.com/cristiancave/emergency-ops</w:t>
      </w:r>
    </w:p>
    <w:p>
      <w:pPr>
        <w:pStyle w:val="ListBullet"/>
      </w:pPr>
      <w:r>
        <w:t>Infraestructura (Terraform): github.com/cristiancave/emergency-ops-infrastructure</w:t>
      </w:r>
    </w:p>
    <w:p>
      <w:pPr>
        <w:pStyle w:val="ListBullet"/>
      </w:pPr>
      <w:r>
        <w:t>Benchmark de overhead (metodología completa): emergency-ops/docs/OTEL_OVERHEAD_BENCHMARK.md</w:t>
      </w:r>
    </w:p>
    <w:p>
      <w:pPr>
        <w:pStyle w:val="ListBullet"/>
      </w:pPr>
      <w:r>
        <w:t>Script de carga k6: emergency-ops/benchmark/k6-triage-load.js</w:t>
      </w:r>
    </w:p>
    <w:p>
      <w:pPr>
        <w:pStyle w:val="ListBullet"/>
      </w:pPr>
      <w:r>
        <w:t>Diagrama de arquitectura: emergency-ops-infrastructure/docs/architecture.drawio</w:t>
      </w:r>
    </w:p>
    <w:p>
      <w:pPr>
        <w:pStyle w:val="ListBullet"/>
      </w:pPr>
      <w:r>
        <w:t>OpenTelemetry: opentelemetry.io</w:t>
      </w:r>
    </w:p>
    <w:p>
      <w:pPr>
        <w:pStyle w:val="ListBullet"/>
      </w:pPr>
      <w:r>
        <w:t>AWS Distro for OpenTelemetry (ADOT): aws-otel.github.io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2F3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ED7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