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365D"/>
            <w:tcMar>
              <w:top w:w="180" w:type="dxa"/>
              <w:bottom w:w="180" w:type="dxa"/>
              <w:left w:w="200" w:type="dxa"/>
              <w:right w:w="200" w:type="dxa"/>
            </w:tcMar>
          </w:tcPr>
          <w:p>
            <w:pPr>
              <w:jc w:val="center"/>
            </w:pPr>
            <w:r>
              <w:rPr>
                <w:rFonts w:ascii="Calibri" w:hAnsi="Calibri"/>
                <w:b/>
                <w:color w:val="FFFFFF"/>
                <w:sz w:val="28"/>
              </w:rPr>
              <w:t>INNOVACIONES EN CERÁMICA Y AZULEJOS, S.A. DE C.V.</w:t>
              <w:br/>
            </w:r>
            <w:r>
              <w:rPr>
                <w:rFonts w:ascii="Calibri" w:hAnsi="Calibri"/>
                <w:color w:val="E2E8F0"/>
                <w:sz w:val="19"/>
              </w:rPr>
              <w:t>Calle Chiltiupán y Av. Alberto Masferrer, Antiguo Cuscatlán, La Libertad, El Salvador</w:t>
              <w:br/>
              <w:t>NIT: 0614-200115-103-9  |  NRC: 295431-8</w:t>
            </w:r>
          </w:p>
        </w:tc>
      </w:tr>
    </w:tbl>
    <w:p/>
    <w:p>
      <w:pPr>
        <w:jc w:val="center"/>
      </w:pPr>
      <w:r>
        <w:rPr>
          <w:rFonts w:ascii="Calibri" w:hAnsi="Calibri"/>
          <w:b/>
          <w:color w:val="1B365D"/>
          <w:sz w:val="24"/>
        </w:rPr>
        <w:t>PLIEGO DE CONDICIONES Y TÉRMINOS DE REFERENCIA DE LICITACIÓN</w:t>
        <w:br/>
      </w:r>
      <w:r>
        <w:rPr>
          <w:rFonts w:ascii="Calibri" w:hAnsi="Calibri"/>
          <w:b/>
          <w:color w:val="1B365D"/>
          <w:sz w:val="26"/>
        </w:rPr>
        <w:t>PROCESO Nº LPR-ICA-004-2026</w:t>
        <w:br/>
      </w:r>
      <w:r>
        <w:rPr>
          <w:rFonts w:ascii="Calibri" w:hAnsi="Calibri"/>
          <w:b/>
          <w:i/>
          <w:color w:val="4A5568"/>
          <w:sz w:val="22"/>
        </w:rPr>
        <w:t>“Suministro e Instalación de Sistemas de Racks Selectivos Pesados para Nueva Bodega de Distribución”</w:t>
      </w:r>
    </w:p>
    <w:p>
      <w:pPr>
        <w:keepNext/>
        <w:spacing w:before="280" w:after="80"/>
        <w:pBdr>
          <w:bottom w:val="single" w:sz="12" w:space="4" w:color="1B365D"/>
        </w:pBdr>
      </w:pPr>
      <w:r>
        <w:rPr>
          <w:rFonts w:ascii="Calibri" w:hAnsi="Calibri"/>
          <w:b/>
          <w:color w:val="1B365D"/>
          <w:sz w:val="22"/>
        </w:rPr>
        <w:t>SECCIÓN 1: DISPOSICIONES GENERALES Y MARCO JURÍDICO</w:t>
      </w:r>
    </w:p>
    <w:p>
      <w:pPr>
        <w:spacing w:before="80" w:after="120" w:line="276" w:lineRule="auto"/>
      </w:pPr>
      <w:r>
        <w:rPr>
          <w:rFonts w:ascii="Calibri" w:hAnsi="Calibri"/>
          <w:b/>
          <w:color w:val="2D3748"/>
          <w:sz w:val="20"/>
        </w:rPr>
        <w:t xml:space="preserve">1.1 CLÁUSULA DE CONVOCATORIA: </w:t>
      </w:r>
      <w:r>
        <w:rPr>
          <w:rFonts w:ascii="Calibri" w:hAnsi="Calibri"/>
          <w:color w:val="2D3748"/>
          <w:sz w:val="20"/>
        </w:rPr>
        <w:t>La sociedad INNOVACIONES EN CERÁMICA Y AZULEJOS, S.A. DE C.V. (denominada en adelante “La Empresa”), convoca a personas naturales o jurídicas formalizadas en el territorio de la República de El Salvador al proceso de Licitación Privada para la adquisición, diseño e instalación de Racks Selectivos Pesados, con base en las especificaciones técnicas del presente documento.</w:t>
      </w:r>
    </w:p>
    <w:p>
      <w:pPr>
        <w:spacing w:before="80" w:after="120" w:line="276" w:lineRule="auto"/>
      </w:pPr>
      <w:r>
        <w:rPr>
          <w:rFonts w:ascii="Calibri" w:hAnsi="Calibri"/>
          <w:b/>
          <w:color w:val="2D3748"/>
          <w:sz w:val="20"/>
        </w:rPr>
        <w:t xml:space="preserve">1.2 REQUISITOS DE CAPACIDAD LEGAL Y SOLVENCIA TRIBUTARIA (Año 2026): </w:t>
      </w:r>
      <w:r>
        <w:rPr>
          <w:rFonts w:ascii="Calibri" w:hAnsi="Calibri"/>
          <w:color w:val="2D3748"/>
          <w:sz w:val="20"/>
        </w:rPr>
        <w:t>Los ofertantes deberán anexar de forma digitalizada e indexada en su propuesta los siguientes atestados vigentes, los cuales son de carácter eliminatorio:</w:t>
      </w:r>
    </w:p>
    <w:p>
      <w:pPr>
        <w:pStyle w:val="ListBullet"/>
        <w:spacing w:before="40" w:after="60" w:line="276" w:lineRule="auto"/>
      </w:pPr>
      <w:r>
        <w:rPr>
          <w:rFonts w:ascii="Calibri" w:hAnsi="Calibri"/>
          <w:b/>
          <w:color w:val="2D3748"/>
          <w:sz w:val="19"/>
        </w:rPr>
        <w:t xml:space="preserve">Representación Legal: </w:t>
      </w:r>
      <w:r>
        <w:rPr>
          <w:rFonts w:ascii="Calibri" w:hAnsi="Calibri"/>
          <w:color w:val="2D3748"/>
          <w:sz w:val="19"/>
        </w:rPr>
        <w:t>Escritura de Constitución de la Sociedad y Credencial vigente inscrita en el Centro Nacional de Registros (CNR).</w:t>
      </w:r>
    </w:p>
    <w:p>
      <w:pPr>
        <w:pStyle w:val="ListBullet"/>
        <w:spacing w:before="40" w:after="60" w:line="276" w:lineRule="auto"/>
      </w:pPr>
      <w:r>
        <w:rPr>
          <w:rFonts w:ascii="Calibri" w:hAnsi="Calibri"/>
          <w:b/>
          <w:color w:val="2D3748"/>
          <w:sz w:val="19"/>
        </w:rPr>
        <w:t xml:space="preserve">Identificación: </w:t>
      </w:r>
      <w:r>
        <w:rPr>
          <w:rFonts w:ascii="Calibri" w:hAnsi="Calibri"/>
          <w:color w:val="2D3748"/>
          <w:sz w:val="19"/>
        </w:rPr>
        <w:t>Documento Único de Identidad (DUI) vigente del Representante Legal.</w:t>
      </w:r>
    </w:p>
    <w:p>
      <w:pPr>
        <w:pStyle w:val="ListBullet"/>
        <w:spacing w:before="40" w:after="60" w:line="276" w:lineRule="auto"/>
      </w:pPr>
      <w:r>
        <w:rPr>
          <w:rFonts w:ascii="Calibri" w:hAnsi="Calibri"/>
          <w:b/>
          <w:color w:val="2D3748"/>
          <w:sz w:val="19"/>
        </w:rPr>
        <w:t xml:space="preserve">Solvencia Fiscal: </w:t>
      </w:r>
      <w:r>
        <w:rPr>
          <w:rFonts w:ascii="Calibri" w:hAnsi="Calibri"/>
          <w:color w:val="2D3748"/>
          <w:sz w:val="19"/>
        </w:rPr>
        <w:t>Solvencia Tributaria Electrónica (Ministerio de Hacienda) que compruebe estar al día en el pago a cuenta del Impuesto sobre la Renta (ISR) y la Ley del IVA.</w:t>
      </w:r>
    </w:p>
    <w:p>
      <w:pPr>
        <w:pStyle w:val="ListBullet"/>
        <w:spacing w:before="40" w:after="60" w:line="276" w:lineRule="auto"/>
      </w:pPr>
      <w:r>
        <w:rPr>
          <w:rFonts w:ascii="Calibri" w:hAnsi="Calibri"/>
          <w:b/>
          <w:color w:val="2D3748"/>
          <w:sz w:val="19"/>
        </w:rPr>
        <w:t xml:space="preserve">Solvencia Laboral: </w:t>
      </w:r>
      <w:r>
        <w:rPr>
          <w:rFonts w:ascii="Calibri" w:hAnsi="Calibri"/>
          <w:color w:val="2D3748"/>
          <w:sz w:val="19"/>
        </w:rPr>
        <w:t>Constancia de Solvencia Patronal del ISSS y Administradoras de Fondos de Pensiones (AFP) vigentes, garantizando el cumplimiento estricto del Código de Trabajo.</w:t>
      </w:r>
    </w:p>
    <w:p>
      <w:pPr>
        <w:spacing w:before="80" w:after="120" w:line="276" w:lineRule="auto"/>
      </w:pPr>
      <w:r>
        <w:rPr>
          <w:rFonts w:ascii="Calibri" w:hAnsi="Calibri"/>
          <w:b/>
          <w:color w:val="2D3748"/>
          <w:sz w:val="20"/>
        </w:rPr>
        <w:t xml:space="preserve">1.3 GARANTÍA DE SOSTENIMIENTO DE OFERTA: </w:t>
      </w:r>
      <w:r>
        <w:rPr>
          <w:rFonts w:ascii="Calibri" w:hAnsi="Calibri"/>
          <w:color w:val="2D3748"/>
          <w:sz w:val="20"/>
        </w:rPr>
        <w:t>Cada propuesta económica deberá estar respaldada por una fianza o Garantía de Mantenimiento de Oferta, emitida por un banco o aseguradora regulada por la Superintendencia del Sistema Financiero (SSF), equivalente al dos por ciento (2%) del monto total cotizado. Su vigencia será de noventa (90) días calendario.</w:t>
      </w:r>
    </w:p>
    <w:p>
      <w:pPr>
        <w:keepNext/>
        <w:spacing w:before="280" w:after="80"/>
        <w:pBdr>
          <w:bottom w:val="single" w:sz="12" w:space="4" w:color="1B365D"/>
        </w:pBdr>
      </w:pPr>
      <w:r>
        <w:rPr>
          <w:rFonts w:ascii="Calibri" w:hAnsi="Calibri"/>
          <w:b/>
          <w:color w:val="1B365D"/>
          <w:sz w:val="22"/>
        </w:rPr>
        <w:t>SECCIÓN 2: ESPECIFICACIONES TÉCNICAS Y REQUERIMIENTOS ESPECÍFICOS</w:t>
      </w:r>
    </w:p>
    <w:p>
      <w:pPr>
        <w:spacing w:before="80" w:after="120" w:line="276" w:lineRule="auto"/>
      </w:pPr>
      <w:r>
        <w:rPr>
          <w:rFonts w:ascii="Calibri" w:hAnsi="Calibri"/>
          <w:b/>
          <w:color w:val="2D3748"/>
          <w:sz w:val="20"/>
        </w:rPr>
        <w:t xml:space="preserve">2.1 DESCRIPCIÓN TÉCNICA DEL SUMINISTRO: </w:t>
      </w:r>
      <w:r>
        <w:rPr>
          <w:rFonts w:ascii="Calibri" w:hAnsi="Calibri"/>
          <w:color w:val="2D3748"/>
          <w:sz w:val="20"/>
        </w:rPr>
        <w:t>Los bienes e ingeniería de montaje serán ejecutados en la Nueva Bodega de Distribución de La Empresa. El sistema de almacenamiento en estantería pesada deberá cumplir con los siguientes estándares de fábrica:</w:t>
      </w:r>
    </w:p>
    <w:p>
      <w:pPr>
        <w:pStyle w:val="ListBullet"/>
        <w:spacing w:before="40" w:after="60" w:line="276" w:lineRule="auto"/>
      </w:pPr>
      <w:r>
        <w:rPr>
          <w:rFonts w:ascii="Calibri" w:hAnsi="Calibri"/>
          <w:b/>
          <w:color w:val="2D3748"/>
          <w:sz w:val="19"/>
        </w:rPr>
        <w:t xml:space="preserve">Tipo de Sistema: </w:t>
      </w:r>
      <w:r>
        <w:rPr>
          <w:rFonts w:ascii="Calibri" w:hAnsi="Calibri"/>
          <w:color w:val="2D3748"/>
          <w:sz w:val="19"/>
        </w:rPr>
        <w:t>Racks Selectivos Pesados para manejo integral de paletización y tarimas.</w:t>
      </w:r>
    </w:p>
    <w:p>
      <w:pPr>
        <w:pStyle w:val="ListBullet"/>
        <w:spacing w:before="40" w:after="60" w:line="276" w:lineRule="auto"/>
      </w:pPr>
      <w:r>
        <w:rPr>
          <w:rFonts w:ascii="Calibri" w:hAnsi="Calibri"/>
          <w:b/>
          <w:color w:val="2D3748"/>
          <w:sz w:val="19"/>
        </w:rPr>
        <w:t xml:space="preserve">Estructura: </w:t>
      </w:r>
      <w:r>
        <w:rPr>
          <w:rFonts w:ascii="Calibri" w:hAnsi="Calibri"/>
          <w:color w:val="2D3748"/>
          <w:sz w:val="19"/>
        </w:rPr>
        <w:t>Marcos y columnas de acero estructural laminado en frío con vigas de carga de alta resistencia.</w:t>
      </w:r>
    </w:p>
    <w:p>
      <w:pPr>
        <w:pStyle w:val="ListBullet"/>
        <w:spacing w:before="40" w:after="60" w:line="276" w:lineRule="auto"/>
      </w:pPr>
      <w:r>
        <w:rPr>
          <w:rFonts w:ascii="Calibri" w:hAnsi="Calibri"/>
          <w:b/>
          <w:color w:val="2D3748"/>
          <w:sz w:val="19"/>
        </w:rPr>
        <w:t xml:space="preserve">Capacidad de Carga: </w:t>
      </w:r>
      <w:r>
        <w:rPr>
          <w:rFonts w:ascii="Calibri" w:hAnsi="Calibri"/>
          <w:color w:val="2D3748"/>
          <w:sz w:val="19"/>
        </w:rPr>
        <w:t>Mínimo 3,000 Kilogramos (kg) uniformemente distribuidos por nivel de carga.</w:t>
      </w:r>
    </w:p>
    <w:p>
      <w:pPr>
        <w:pStyle w:val="ListBullet"/>
        <w:spacing w:before="40" w:after="60" w:line="276" w:lineRule="auto"/>
      </w:pPr>
      <w:r>
        <w:rPr>
          <w:rFonts w:ascii="Calibri" w:hAnsi="Calibri"/>
          <w:b/>
          <w:color w:val="2D3748"/>
          <w:sz w:val="19"/>
        </w:rPr>
        <w:t xml:space="preserve">Altura y Geometría: </w:t>
      </w:r>
      <w:r>
        <w:rPr>
          <w:rFonts w:ascii="Calibri" w:hAnsi="Calibri"/>
          <w:color w:val="2D3748"/>
          <w:sz w:val="19"/>
        </w:rPr>
        <w:t>Altura de marcos de 6.0 metros útiles, con 4 niveles de almacenamiento regulables y ancho de bahía apto para dos tarimas estándar (1.20m x 1.00m).</w:t>
      </w:r>
    </w:p>
    <w:p>
      <w:pPr>
        <w:pStyle w:val="ListBullet"/>
        <w:spacing w:before="40" w:after="60" w:line="276" w:lineRule="auto"/>
      </w:pPr>
      <w:r>
        <w:rPr>
          <w:rFonts w:ascii="Calibri" w:hAnsi="Calibri"/>
          <w:b/>
          <w:color w:val="2D3748"/>
          <w:sz w:val="19"/>
        </w:rPr>
        <w:t xml:space="preserve">Protección Industrial: </w:t>
      </w:r>
      <w:r>
        <w:rPr>
          <w:rFonts w:ascii="Calibri" w:hAnsi="Calibri"/>
          <w:color w:val="2D3748"/>
          <w:sz w:val="19"/>
        </w:rPr>
        <w:t>Protectores de esquina y postes en acero reforzado, así como barreras perimetrales para pasillos contra impactos directos de montacargas, previniendo riesgos laborales.</w:t>
      </w:r>
    </w:p>
    <w:p>
      <w:pPr>
        <w:spacing w:before="80" w:after="120" w:line="276" w:lineRule="auto"/>
      </w:pPr>
      <w:r>
        <w:rPr>
          <w:rFonts w:ascii="Calibri" w:hAnsi="Calibri"/>
          <w:b/>
          <w:color w:val="2D3748"/>
          <w:sz w:val="20"/>
        </w:rPr>
        <w:t xml:space="preserve">2.2 DEBERES LABORALES Y SEGURIDAD INDUSTRIAL (Código de Trabajo): </w:t>
      </w:r>
      <w:r>
        <w:rPr>
          <w:rFonts w:ascii="Calibri" w:hAnsi="Calibri"/>
          <w:color w:val="2D3748"/>
          <w:sz w:val="20"/>
        </w:rPr>
        <w:t>El proveedor seleccionado ejecutará la instalación e ingeniería de anclaje bajo la modalidad de “llave en mano”. De conformidad con la Ley General de Prevención de Riesgos en los Lugares de Trabajo de El Salvador, el personal asignado deberá contar de forma obligatoria con:</w:t>
      </w:r>
    </w:p>
    <w:p>
      <w:pPr>
        <w:pStyle w:val="ListBullet"/>
        <w:spacing w:before="40" w:after="60" w:line="276" w:lineRule="auto"/>
      </w:pPr>
      <w:r>
        <w:rPr>
          <w:rFonts w:ascii="Calibri" w:hAnsi="Calibri"/>
          <w:b/>
          <w:color w:val="2D3748"/>
          <w:sz w:val="19"/>
        </w:rPr>
        <w:t xml:space="preserve">Seguridad Social: </w:t>
      </w:r>
      <w:r>
        <w:rPr>
          <w:rFonts w:ascii="Calibri" w:hAnsi="Calibri"/>
          <w:color w:val="2D3748"/>
          <w:sz w:val="19"/>
        </w:rPr>
        <w:t>Seguro vigente contra accidentes de trabajo y afiliación activa.</w:t>
      </w:r>
    </w:p>
    <w:p>
      <w:pPr>
        <w:pStyle w:val="ListBullet"/>
        <w:spacing w:before="40" w:after="60" w:line="276" w:lineRule="auto"/>
      </w:pPr>
      <w:r>
        <w:rPr>
          <w:rFonts w:ascii="Calibri" w:hAnsi="Calibri"/>
          <w:b/>
          <w:color w:val="2D3748"/>
          <w:sz w:val="19"/>
        </w:rPr>
        <w:t xml:space="preserve">Equipo de Protección (EPP): </w:t>
      </w:r>
      <w:r>
        <w:rPr>
          <w:rFonts w:ascii="Calibri" w:hAnsi="Calibri"/>
          <w:color w:val="2D3748"/>
          <w:sz w:val="19"/>
        </w:rPr>
        <w:t>Equipo Nivel 3 completo para trabajo en altura (Arnés con línea de vida, casco dieléctrico, calzado con puntera de acero y chaleco reflejante).</w:t>
      </w:r>
    </w:p>
    <w:p>
      <w:pPr>
        <w:pStyle w:val="ListBullet"/>
        <w:spacing w:before="40" w:after="60" w:line="276" w:lineRule="auto"/>
      </w:pPr>
      <w:r>
        <w:rPr>
          <w:rFonts w:ascii="Calibri" w:hAnsi="Calibri"/>
          <w:b/>
          <w:color w:val="2D3748"/>
          <w:sz w:val="19"/>
        </w:rPr>
        <w:t xml:space="preserve">Exoneración: </w:t>
      </w:r>
      <w:r>
        <w:rPr>
          <w:rFonts w:ascii="Calibri" w:hAnsi="Calibri"/>
          <w:color w:val="2D3748"/>
          <w:sz w:val="19"/>
        </w:rPr>
        <w:t>El Proveedor exime a La Empresa de toda responsabilidad laboral solidaria o subsidiaria por siniestros de su personal.</w:t>
      </w:r>
    </w:p>
    <w:p>
      <w:pPr>
        <w:spacing w:before="80" w:after="120" w:line="276" w:lineRule="auto"/>
      </w:pPr>
      <w:r>
        <w:rPr>
          <w:rFonts w:ascii="Calibri" w:hAnsi="Calibri"/>
          <w:b/>
          <w:color w:val="2D3748"/>
          <w:sz w:val="20"/>
        </w:rPr>
        <w:t xml:space="preserve">2.3 TRANSFERENCIA DE RIESGO Y CONTROL DE ACTIVO (Sección 17 NIIF para PYMES): </w:t>
      </w:r>
      <w:r>
        <w:rPr>
          <w:rFonts w:ascii="Calibri" w:hAnsi="Calibri"/>
          <w:color w:val="2D3748"/>
          <w:sz w:val="20"/>
        </w:rPr>
        <w:t>El sistema de racks se registrará en la cuenta de Propiedad, Planta y Equipo (Sección 17 NIIF) únicamente cuando se encuentre 100% armado, anclado a suelo y recibido mediante la firma del “Acta de Recepción Final a Entera Conformidad” por el encargado de planta. Todos los riesgos por daños, roturas o mermas durante el montaje corren por cuenta del Proveedor.</w:t>
      </w:r>
    </w:p>
    <w:p>
      <w:pPr>
        <w:keepNext/>
        <w:spacing w:before="280" w:after="80"/>
        <w:pBdr>
          <w:bottom w:val="single" w:sz="12" w:space="4" w:color="1B365D"/>
        </w:pBdr>
      </w:pPr>
      <w:r>
        <w:rPr>
          <w:rFonts w:ascii="Calibri" w:hAnsi="Calibri"/>
          <w:b/>
          <w:color w:val="1B365D"/>
          <w:sz w:val="22"/>
        </w:rPr>
        <w:t>SECCIÓN 3: FORMULARIOS TRIBUTARIOS Y ESQUEMA DE PROPUESTA ECONÓMICA</w:t>
      </w:r>
    </w:p>
    <w:p>
      <w:pPr>
        <w:spacing w:before="80" w:after="120" w:line="276" w:lineRule="auto"/>
      </w:pPr>
      <w:r>
        <w:rPr>
          <w:rFonts w:ascii="Calibri" w:hAnsi="Calibri"/>
          <w:b/>
          <w:color w:val="2D3748"/>
          <w:sz w:val="20"/>
        </w:rPr>
        <w:t xml:space="preserve">3.1 REGULACIÓN FISCAL DE FACTURACIÓN ELECTRÓNICA (DTE): </w:t>
      </w:r>
      <w:r>
        <w:rPr>
          <w:rFonts w:ascii="Calibri" w:hAnsi="Calibri"/>
          <w:color w:val="2D3748"/>
          <w:sz w:val="20"/>
        </w:rPr>
        <w:t>La propuesta comercial del Proveedor deberá presentarse desglosando obligatoriamente el costo de materiales e instalación, previendo la emisión final de un Comprobante de Crédito Fiscal Electrónico (CCF-E):</w:t>
      </w:r>
    </w:p>
    <w:p>
      <w:pPr>
        <w:spacing w:before="120" w:after="40"/>
      </w:pPr>
      <w:r>
        <w:rPr>
          <w:rFonts w:ascii="Calibri" w:hAnsi="Calibri"/>
          <w:b/>
          <w:color w:val="1B365D"/>
          <w:sz w:val="20"/>
        </w:rPr>
        <w:t>FORMULARIO DE COTIZACIÓN “A”</w:t>
      </w:r>
    </w:p>
    <w:tbl>
      <w:tblPr>
        <w:tblW w:type="auto" w:w="0"/>
        <w:jc w:val="center"/>
        <w:tblLayout w:type="fixed"/>
        <w:tblLook w:firstColumn="1" w:firstRow="1" w:lastColumn="0" w:lastRow="0" w:noHBand="0" w:noVBand="1" w:val="04A0"/>
      </w:tblPr>
      <w:tblGrid>
        <w:gridCol w:w="4968"/>
        <w:gridCol w:w="4968"/>
      </w:tblGrid>
      <w:tr>
        <w:tc>
          <w:tcPr>
            <w:tcW w:type="dxa" w:w="6480"/>
            <w:tcMar>
              <w:top w:w="80" w:type="dxa"/>
              <w:bottom w:w="80" w:type="dxa"/>
              <w:left w:w="120" w:type="dxa"/>
              <w:right w:w="120" w:type="dxa"/>
            </w:tcMar>
            <w:shd w:fill="F7FAFC"/>
          </w:tcPr>
          <w:p>
            <w:pPr>
              <w:spacing w:after="0"/>
            </w:pPr>
            <w:r>
              <w:rPr>
                <w:rFonts w:ascii="Calibri" w:hAnsi="Calibri"/>
                <w:b/>
                <w:sz w:val="19"/>
              </w:rPr>
              <w:t>DESCRIPCIÓN DEL SUMINISTRO</w:t>
            </w:r>
          </w:p>
        </w:tc>
        <w:tc>
          <w:tcPr>
            <w:tcW w:type="dxa" w:w="3168"/>
            <w:tcMar>
              <w:top w:w="80" w:type="dxa"/>
              <w:bottom w:w="80" w:type="dxa"/>
              <w:left w:w="120" w:type="dxa"/>
              <w:right w:w="120" w:type="dxa"/>
            </w:tcMar>
            <w:shd w:fill="F7FAFC"/>
          </w:tcPr>
          <w:p>
            <w:pPr>
              <w:spacing w:after="0"/>
              <w:jc w:val="right"/>
            </w:pPr>
            <w:r>
              <w:rPr>
                <w:rFonts w:ascii="Calibri" w:hAnsi="Calibri"/>
                <w:b/>
                <w:sz w:val="19"/>
              </w:rPr>
              <w:t>RACKS SELECTIVOS PESADOS PARA BODEGA</w:t>
            </w:r>
          </w:p>
        </w:tc>
      </w:tr>
      <w:tr>
        <w:tc>
          <w:tcPr>
            <w:tcW w:type="dxa" w:w="6480"/>
            <w:tcMar>
              <w:top w:w="80" w:type="dxa"/>
              <w:bottom w:w="80" w:type="dxa"/>
              <w:left w:w="120" w:type="dxa"/>
              <w:right w:w="120" w:type="dxa"/>
            </w:tcMar>
            <w:shd w:fill="FFFFFF"/>
          </w:tcPr>
          <w:p>
            <w:pPr>
              <w:spacing w:after="0"/>
            </w:pPr>
            <w:r>
              <w:rPr>
                <w:rFonts w:ascii="Calibri" w:hAnsi="Calibri"/>
                <w:sz w:val="19"/>
              </w:rPr>
              <w:t>VALOR NETO DE MATERIALES Y ESTRUCTURA</w:t>
            </w:r>
          </w:p>
        </w:tc>
        <w:tc>
          <w:tcPr>
            <w:tcW w:type="dxa" w:w="3168"/>
            <w:tcMar>
              <w:top w:w="80" w:type="dxa"/>
              <w:bottom w:w="80" w:type="dxa"/>
              <w:left w:w="120" w:type="dxa"/>
              <w:right w:w="120" w:type="dxa"/>
            </w:tcMar>
            <w:shd w:fill="FFFFFF"/>
          </w:tcPr>
          <w:p>
            <w:pPr>
              <w:spacing w:after="0"/>
              <w:jc w:val="right"/>
            </w:pPr>
            <w:r>
              <w:rPr>
                <w:rFonts w:ascii="Calibri" w:hAnsi="Calibri"/>
                <w:sz w:val="19"/>
              </w:rPr>
              <w:t>$ ____________________ USD</w:t>
            </w:r>
          </w:p>
        </w:tc>
      </w:tr>
      <w:tr>
        <w:tc>
          <w:tcPr>
            <w:tcW w:type="dxa" w:w="6480"/>
            <w:tcMar>
              <w:top w:w="80" w:type="dxa"/>
              <w:bottom w:w="80" w:type="dxa"/>
              <w:left w:w="120" w:type="dxa"/>
              <w:right w:w="120" w:type="dxa"/>
            </w:tcMar>
            <w:shd w:fill="FFFFFF"/>
          </w:tcPr>
          <w:p>
            <w:pPr>
              <w:spacing w:after="0"/>
            </w:pPr>
            <w:r>
              <w:rPr>
                <w:rFonts w:ascii="Calibri" w:hAnsi="Calibri"/>
                <w:sz w:val="19"/>
              </w:rPr>
              <w:t>VALOR DE MANO DE OBRA, INGENIERÍA Y MONTAJE</w:t>
            </w:r>
          </w:p>
        </w:tc>
        <w:tc>
          <w:tcPr>
            <w:tcW w:type="dxa" w:w="3168"/>
            <w:tcMar>
              <w:top w:w="80" w:type="dxa"/>
              <w:bottom w:w="80" w:type="dxa"/>
              <w:left w:w="120" w:type="dxa"/>
              <w:right w:w="120" w:type="dxa"/>
            </w:tcMar>
            <w:shd w:fill="FFFFFF"/>
          </w:tcPr>
          <w:p>
            <w:pPr>
              <w:spacing w:after="0"/>
              <w:jc w:val="right"/>
            </w:pPr>
            <w:r>
              <w:rPr>
                <w:rFonts w:ascii="Calibri" w:hAnsi="Calibri"/>
                <w:sz w:val="19"/>
              </w:rPr>
              <w:t>$ ____________________ USD</w:t>
            </w:r>
          </w:p>
        </w:tc>
      </w:tr>
      <w:tr>
        <w:tc>
          <w:tcPr>
            <w:tcW w:type="dxa" w:w="6480"/>
            <w:tcMar>
              <w:top w:w="80" w:type="dxa"/>
              <w:bottom w:w="80" w:type="dxa"/>
              <w:left w:w="120" w:type="dxa"/>
              <w:right w:w="120" w:type="dxa"/>
            </w:tcMar>
            <w:shd w:fill="F7FAFC"/>
          </w:tcPr>
          <w:p>
            <w:pPr>
              <w:spacing w:after="0"/>
            </w:pPr>
            <w:r>
              <w:rPr>
                <w:rFonts w:ascii="Calibri" w:hAnsi="Calibri"/>
                <w:b/>
                <w:sz w:val="19"/>
              </w:rPr>
              <w:t>SUBTOTAL NETO DE LA OPERACIÓN</w:t>
            </w:r>
          </w:p>
        </w:tc>
        <w:tc>
          <w:tcPr>
            <w:tcW w:type="dxa" w:w="3168"/>
            <w:tcMar>
              <w:top w:w="80" w:type="dxa"/>
              <w:bottom w:w="80" w:type="dxa"/>
              <w:left w:w="120" w:type="dxa"/>
              <w:right w:w="120" w:type="dxa"/>
            </w:tcMar>
            <w:shd w:fill="F7FAFC"/>
          </w:tcPr>
          <w:p>
            <w:pPr>
              <w:spacing w:after="0"/>
              <w:jc w:val="right"/>
            </w:pPr>
            <w:r>
              <w:rPr>
                <w:rFonts w:ascii="Calibri" w:hAnsi="Calibri"/>
                <w:b/>
                <w:sz w:val="19"/>
              </w:rPr>
              <w:t>$ ____________________ USD</w:t>
            </w:r>
          </w:p>
        </w:tc>
      </w:tr>
      <w:tr>
        <w:tc>
          <w:tcPr>
            <w:tcW w:type="dxa" w:w="6480"/>
            <w:tcMar>
              <w:top w:w="80" w:type="dxa"/>
              <w:bottom w:w="80" w:type="dxa"/>
              <w:left w:w="120" w:type="dxa"/>
              <w:right w:w="120" w:type="dxa"/>
            </w:tcMar>
            <w:shd w:fill="FFFFFF"/>
          </w:tcPr>
          <w:p>
            <w:pPr>
              <w:spacing w:after="0"/>
            </w:pPr>
            <w:r>
              <w:rPr>
                <w:rFonts w:ascii="Calibri" w:hAnsi="Calibri"/>
                <w:sz w:val="19"/>
              </w:rPr>
              <w:t>(+) 13% IMPUESTO AL VALOR AGREGADO (IVA)</w:t>
            </w:r>
          </w:p>
        </w:tc>
        <w:tc>
          <w:tcPr>
            <w:tcW w:type="dxa" w:w="3168"/>
            <w:tcMar>
              <w:top w:w="80" w:type="dxa"/>
              <w:bottom w:w="80" w:type="dxa"/>
              <w:left w:w="120" w:type="dxa"/>
              <w:right w:w="120" w:type="dxa"/>
            </w:tcMar>
            <w:shd w:fill="FFFFFF"/>
          </w:tcPr>
          <w:p>
            <w:pPr>
              <w:spacing w:after="0"/>
              <w:jc w:val="right"/>
            </w:pPr>
            <w:r>
              <w:rPr>
                <w:rFonts w:ascii="Calibri" w:hAnsi="Calibri"/>
                <w:sz w:val="19"/>
              </w:rPr>
              <w:t>$ ____________________ USD</w:t>
            </w:r>
          </w:p>
        </w:tc>
      </w:tr>
      <w:tr>
        <w:tc>
          <w:tcPr>
            <w:tcW w:type="dxa" w:w="6480"/>
            <w:tcMar>
              <w:top w:w="80" w:type="dxa"/>
              <w:bottom w:w="80" w:type="dxa"/>
              <w:left w:w="120" w:type="dxa"/>
              <w:right w:w="120" w:type="dxa"/>
            </w:tcMar>
            <w:shd w:fill="E2E8F0"/>
          </w:tcPr>
          <w:p>
            <w:pPr>
              <w:spacing w:after="0"/>
            </w:pPr>
            <w:r>
              <w:rPr>
                <w:rFonts w:ascii="Calibri" w:hAnsi="Calibri"/>
                <w:b/>
                <w:sz w:val="19"/>
              </w:rPr>
              <w:t>(=) VALOR TOTAL BRUTO DE LA PROPUESTA</w:t>
            </w:r>
          </w:p>
        </w:tc>
        <w:tc>
          <w:tcPr>
            <w:tcW w:type="dxa" w:w="3168"/>
            <w:tcMar>
              <w:top w:w="80" w:type="dxa"/>
              <w:bottom w:w="80" w:type="dxa"/>
              <w:left w:w="120" w:type="dxa"/>
              <w:right w:w="120" w:type="dxa"/>
            </w:tcMar>
            <w:shd w:fill="E2E8F0"/>
          </w:tcPr>
          <w:p>
            <w:pPr>
              <w:spacing w:after="0"/>
              <w:jc w:val="right"/>
            </w:pPr>
            <w:r>
              <w:rPr>
                <w:rFonts w:ascii="Calibri" w:hAnsi="Calibri"/>
                <w:b/>
                <w:sz w:val="19"/>
              </w:rPr>
              <w:t>$ ____________________ USD</w:t>
            </w:r>
          </w:p>
        </w:tc>
      </w:tr>
    </w:tbl>
    <w:p/>
    <w:p>
      <w:pPr>
        <w:spacing w:before="80" w:after="120" w:line="276" w:lineRule="auto"/>
      </w:pPr>
      <w:r>
        <w:rPr>
          <w:rFonts w:ascii="Calibri" w:hAnsi="Calibri"/>
          <w:b/>
          <w:color w:val="2D3748"/>
          <w:sz w:val="20"/>
        </w:rPr>
        <w:t xml:space="preserve">3.2 CONDICIONES DE CRÉDITO Y RETENCIÓN (Código Tributario Art. 162): </w:t>
      </w:r>
      <w:r>
        <w:rPr>
          <w:rFonts w:ascii="Calibri" w:hAnsi="Calibri"/>
          <w:color w:val="2D3748"/>
          <w:sz w:val="20"/>
        </w:rPr>
      </w:r>
    </w:p>
    <w:p>
      <w:pPr>
        <w:pStyle w:val="ListBullet"/>
        <w:spacing w:before="40" w:after="60" w:line="276" w:lineRule="auto"/>
      </w:pPr>
      <w:r>
        <w:rPr>
          <w:rFonts w:ascii="Calibri" w:hAnsi="Calibri"/>
          <w:b/>
          <w:color w:val="2D3748"/>
          <w:sz w:val="19"/>
        </w:rPr>
        <w:t xml:space="preserve">Retención de IVA: </w:t>
      </w:r>
      <w:r>
        <w:rPr>
          <w:rFonts w:ascii="Calibri" w:hAnsi="Calibri"/>
          <w:color w:val="2D3748"/>
          <w:sz w:val="19"/>
        </w:rPr>
        <w:t>Al poseer La Empresa la categoría de Gran Contribuyente, al momento del pago se deducirá el uno por ciento (1%) en concepto de anticipo de IVA sobre el Subtotal Neto del formulario anterior.</w:t>
      </w:r>
    </w:p>
    <w:p>
      <w:pPr>
        <w:pStyle w:val="ListBullet"/>
        <w:spacing w:before="40" w:after="60" w:line="276" w:lineRule="auto"/>
      </w:pPr>
      <w:r>
        <w:rPr>
          <w:rFonts w:ascii="Calibri" w:hAnsi="Calibri"/>
          <w:b/>
          <w:color w:val="2D3748"/>
          <w:sz w:val="19"/>
        </w:rPr>
        <w:t xml:space="preserve">Condiciones de Pago: </w:t>
      </w:r>
      <w:r>
        <w:rPr>
          <w:rFonts w:ascii="Calibri" w:hAnsi="Calibri"/>
          <w:color w:val="2D3748"/>
          <w:sz w:val="19"/>
        </w:rPr>
        <w:t>Crédito comercial a 30 días posteriores a la entrega final de obra y la validación exitosa del archivo JSON del CCF-E ante el portal del Ministerio de Hacienda.</w:t>
      </w:r>
    </w:p>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00" w:type="dxa"/>
              <w:right w:w="100" w:type="dxa"/>
            </w:tcMar>
          </w:tcPr>
          <w:p>
            <w:pPr>
              <w:jc w:val="center"/>
            </w:pPr>
            <w:r>
              <w:rPr>
                <w:b/>
              </w:rPr>
              <w:t>________________________________________</w:t>
              <w:br/>
            </w:r>
            <w:r>
              <w:rPr>
                <w:b/>
                <w:sz w:val="18"/>
              </w:rPr>
              <w:t>Firma y Sello del Representante Ofertante</w:t>
              <w:br/>
            </w:r>
            <w:r>
              <w:rPr>
                <w:sz w:val="17"/>
              </w:rPr>
              <w:t>Nombre de la Empresa Proveedora: ____________________</w:t>
            </w:r>
          </w:p>
        </w:tc>
        <w:tc>
          <w:tcPr>
            <w:tcW w:type="dxa" w:w="4968"/>
            <w:tcMar>
              <w:top w:w="100" w:type="dxa"/>
              <w:bottom w:w="100" w:type="dxa"/>
              <w:left w:w="100" w:type="dxa"/>
              <w:right w:w="100" w:type="dxa"/>
            </w:tcMar>
          </w:tcPr>
          <w:p>
            <w:pPr>
              <w:jc w:val="center"/>
            </w:pPr>
            <w:r>
              <w:rPr>
                <w:b/>
              </w:rPr>
              <w:t>________________________________________</w:t>
              <w:br/>
            </w:r>
            <w:r>
              <w:rPr>
                <w:b/>
                <w:sz w:val="18"/>
              </w:rPr>
              <w:t>Aceptado por: Comité de Compras</w:t>
              <w:br/>
            </w:r>
            <w:r>
              <w:rPr>
                <w:sz w:val="17"/>
              </w:rPr>
              <w:t>Fecha de Presentación: ____ / ____ / 2026</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