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72F31" w14:textId="1F758A6A" w:rsidR="00722BF5" w:rsidRDefault="00722BF5" w:rsidP="00722BF5">
      <w:pPr>
        <w:jc w:val="center"/>
      </w:pPr>
      <w:r>
        <w:t>Modelo de aprobación de créditos</w:t>
      </w:r>
    </w:p>
    <w:p w14:paraId="239EA78E" w14:textId="7BA53380" w:rsidR="00722BF5" w:rsidRDefault="00722BF5" w:rsidP="00722BF5">
      <w:r>
        <w:t>Definición</w:t>
      </w:r>
    </w:p>
    <w:p w14:paraId="568F7A8C" w14:textId="25DF7713" w:rsidR="00722BF5" w:rsidRDefault="00581DDF" w:rsidP="00722BF5">
      <w:pPr>
        <w:rPr>
          <w:rFonts w:ascii="Calibri" w:eastAsia="Calibri" w:hAnsi="Calibri" w:cs="Calibri"/>
          <w:sz w:val="22"/>
          <w:szCs w:val="22"/>
        </w:rPr>
      </w:pPr>
      <w:r>
        <w:t xml:space="preserve">Se construyó </w:t>
      </w:r>
      <w:r w:rsidR="00722BF5" w:rsidRPr="00722BF5">
        <w:t xml:space="preserve">un modelo que estima, para cada solicitud de crédito, la probabilidad de que el cliente caiga en mora grave dentro de los </w:t>
      </w:r>
      <w:r>
        <w:t xml:space="preserve">próximos </w:t>
      </w:r>
      <w:r w:rsidR="00722BF5" w:rsidRPr="00722BF5">
        <w:t>12 meses siguientes.</w:t>
      </w:r>
      <w:r w:rsidRPr="00581DDF">
        <w:rPr>
          <w:rFonts w:ascii="Calibri" w:eastAsia="Calibri" w:hAnsi="Calibri" w:cs="Calibri"/>
          <w:sz w:val="22"/>
          <w:szCs w:val="22"/>
        </w:rPr>
        <w:t xml:space="preserve"> </w:t>
      </w:r>
      <w:r>
        <w:rPr>
          <w:rFonts w:ascii="Calibri" w:eastAsia="Calibri" w:hAnsi="Calibri" w:cs="Calibri"/>
          <w:sz w:val="22"/>
          <w:szCs w:val="22"/>
        </w:rPr>
        <w:t>Al reemplazar el proceso manual por este modelo</w:t>
      </w:r>
      <w:r>
        <w:rPr>
          <w:rFonts w:ascii="Calibri" w:eastAsia="Calibri" w:hAnsi="Calibri" w:cs="Calibri"/>
          <w:sz w:val="22"/>
          <w:szCs w:val="22"/>
        </w:rPr>
        <w:t xml:space="preserve">, </w:t>
      </w:r>
      <w:r>
        <w:rPr>
          <w:rFonts w:ascii="Calibri" w:eastAsia="Calibri" w:hAnsi="Calibri" w:cs="Calibri"/>
          <w:b/>
          <w:bCs/>
          <w:sz w:val="22"/>
          <w:szCs w:val="22"/>
        </w:rPr>
        <w:t>la cartera pasaría de ganar 337 a 1.083 millones de pesos</w:t>
      </w:r>
      <w:r>
        <w:rPr>
          <w:rFonts w:ascii="Calibri" w:eastAsia="Calibri" w:hAnsi="Calibri" w:cs="Calibri"/>
          <w:sz w:val="22"/>
          <w:szCs w:val="22"/>
        </w:rPr>
        <w:t xml:space="preserve"> sobre el mismo grupo de clientes recientes, más que triplicando el resultado frente a aprobar a todos.</w:t>
      </w:r>
    </w:p>
    <w:p w14:paraId="453B093D" w14:textId="5F6C5545" w:rsidR="00581DDF" w:rsidRDefault="00581DDF" w:rsidP="00722BF5">
      <w:proofErr w:type="gramStart"/>
      <w:r>
        <w:t>Problema a resolver</w:t>
      </w:r>
      <w:proofErr w:type="gramEnd"/>
    </w:p>
    <w:p w14:paraId="3A938904" w14:textId="42A2C8D2" w:rsidR="00581DDF" w:rsidRDefault="00581DDF" w:rsidP="00722BF5">
      <w:r w:rsidRPr="00581DDF">
        <w:t xml:space="preserve">Hoy, cuando llega una solicitud, decidir si aprobarla depende del criterio y las reglas actuales. El problema es que aproximadamente 1 de cada </w:t>
      </w:r>
      <w:r>
        <w:t>10</w:t>
      </w:r>
      <w:r w:rsidRPr="00581DDF">
        <w:t xml:space="preserve"> créditos termina en mora grave, y cada uno de esos representa una pérdida de más de la mitad del monto prestado. El modelo </w:t>
      </w:r>
      <w:r>
        <w:t>contempla</w:t>
      </w:r>
      <w:r w:rsidRPr="00581DDF">
        <w:t xml:space="preserve"> una probabilidad de incumplimiento por solicitante, para ordenar quién es seguro y quién no</w:t>
      </w:r>
      <w:r>
        <w:t xml:space="preserve"> antes de realizar el desembolso</w:t>
      </w:r>
      <w:r w:rsidRPr="00581DDF">
        <w:t>.</w:t>
      </w:r>
    </w:p>
    <w:p w14:paraId="461F120A" w14:textId="75E5C966" w:rsidR="00581DDF" w:rsidRDefault="00581DDF" w:rsidP="00722BF5">
      <w:proofErr w:type="gramStart"/>
      <w:r>
        <w:t>Hallazgo relevantes</w:t>
      </w:r>
      <w:proofErr w:type="gramEnd"/>
    </w:p>
    <w:p w14:paraId="32477A1A" w14:textId="15FF8A24" w:rsidR="00581DDF" w:rsidRDefault="00581DDF" w:rsidP="008F13A2">
      <w:pPr>
        <w:pStyle w:val="Prrafodelista"/>
        <w:numPr>
          <w:ilvl w:val="0"/>
          <w:numId w:val="2"/>
        </w:numPr>
      </w:pPr>
      <w:r w:rsidRPr="00581DDF">
        <w:t xml:space="preserve">Cerca </w:t>
      </w:r>
      <w:r w:rsidR="008F13A2">
        <w:t>el</w:t>
      </w:r>
      <w:r w:rsidRPr="00581DDF">
        <w:t xml:space="preserve"> 18% de los solicitantes no declara ingreso, y ese solo hecho ya es señal de mayor riesgo</w:t>
      </w:r>
      <w:r>
        <w:t>.</w:t>
      </w:r>
    </w:p>
    <w:p w14:paraId="52F2E3E8" w14:textId="70D2B7B4" w:rsidR="00581DDF" w:rsidRDefault="008F13A2" w:rsidP="008F13A2">
      <w:pPr>
        <w:pStyle w:val="Prrafodelista"/>
        <w:numPr>
          <w:ilvl w:val="0"/>
          <w:numId w:val="2"/>
        </w:numPr>
      </w:pPr>
      <w:r>
        <w:t>Además, el 16% de solicitantes tampoco ha declarado su antigüedad laboral en meses, lo cual también es una señal de riesgo, al no tener claridad sobre el respaldo de sus ingresos para poder cumplir con el pago del crédito.</w:t>
      </w:r>
    </w:p>
    <w:p w14:paraId="07E0BEB3" w14:textId="7A992738" w:rsidR="008F13A2" w:rsidRDefault="008F13A2" w:rsidP="008F13A2">
      <w:pPr>
        <w:pStyle w:val="Prrafodelista"/>
        <w:numPr>
          <w:ilvl w:val="0"/>
          <w:numId w:val="2"/>
        </w:numPr>
      </w:pPr>
      <w:r>
        <w:t>Se encontraron ingresos inconsistentes como como $280 CLP, lo cual es inconsistente y podría tratarse de errores de tipeo.</w:t>
      </w:r>
    </w:p>
    <w:p w14:paraId="0D732C78" w14:textId="37D78DD8" w:rsidR="008F13A2" w:rsidRDefault="008F13A2" w:rsidP="008F13A2">
      <w:pPr>
        <w:pStyle w:val="Prrafodelista"/>
        <w:numPr>
          <w:ilvl w:val="0"/>
          <w:numId w:val="2"/>
        </w:numPr>
      </w:pPr>
      <w:r>
        <w:t>También se hallaron edades imposibles de hasta 133 años, denotando la falta de calidad de datos.</w:t>
      </w:r>
    </w:p>
    <w:p w14:paraId="5C557617" w14:textId="0FB5F87A" w:rsidR="008F13A2" w:rsidRDefault="008F13A2" w:rsidP="008F13A2">
      <w:pPr>
        <w:pStyle w:val="Prrafodelista"/>
        <w:numPr>
          <w:ilvl w:val="0"/>
          <w:numId w:val="2"/>
        </w:numPr>
      </w:pPr>
      <w:r>
        <w:t>Todos estos hallazgos fueron tratados, a fin de evitar sesgos en los cálculos.</w:t>
      </w:r>
    </w:p>
    <w:p w14:paraId="2016B520" w14:textId="5AF2068B" w:rsidR="008F13A2" w:rsidRDefault="008F13A2" w:rsidP="008F13A2">
      <w:r>
        <w:t>Validación del modelo</w:t>
      </w:r>
    </w:p>
    <w:p w14:paraId="731C0F92" w14:textId="378E7CE8" w:rsidR="008F13A2" w:rsidRDefault="008F13A2" w:rsidP="008F13A2">
      <w:r>
        <w:t>Se entrenaron</w:t>
      </w:r>
      <w:r>
        <w:t xml:space="preserve"> </w:t>
      </w:r>
      <w:r>
        <w:t>los</w:t>
      </w:r>
      <w:r>
        <w:t xml:space="preserve"> modelo</w:t>
      </w:r>
      <w:r>
        <w:t>s</w:t>
      </w:r>
      <w:r>
        <w:t xml:space="preserve"> con las solicitudes más antiguas y lo pusimos a prueba con las más reciente</w:t>
      </w:r>
      <w:r>
        <w:t>s</w:t>
      </w:r>
      <w:r>
        <w:t>. Esto imita exactamente lo que pasará en producción: decidir sobre clientes del futuro.</w:t>
      </w:r>
    </w:p>
    <w:p w14:paraId="07341A31" w14:textId="168E4868" w:rsidR="008F13A2" w:rsidRDefault="008F13A2" w:rsidP="008F13A2">
      <w:r>
        <w:t>Comparamos tres modelos del mismo tipo (los más usados hoy en la industria). Los tres dieron resultados casi idénticos, lo que indica que llegamos al techo de lo que los datos permiten predecir. Elegimos el de mejor desempeño:</w:t>
      </w:r>
    </w:p>
    <w:p w14:paraId="7822604E" w14:textId="77777777" w:rsidR="008F13A2" w:rsidRDefault="008F13A2" w:rsidP="008F13A2"/>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000"/>
      </w:tblGrid>
      <w:tr w:rsidR="008F13A2" w14:paraId="19B9234B" w14:textId="77777777" w:rsidTr="00A935CE">
        <w:tblPrEx>
          <w:tblCellMar>
            <w:top w:w="0" w:type="dxa"/>
            <w:bottom w:w="0" w:type="dxa"/>
          </w:tblCellMar>
        </w:tblPrEx>
        <w:tc>
          <w:tcPr>
            <w:tcW w:w="2600" w:type="dxa"/>
            <w:shd w:val="clear" w:color="auto" w:fill="1F3864"/>
            <w:tcMar>
              <w:left w:w="110" w:type="dxa"/>
              <w:right w:w="110" w:type="dxa"/>
            </w:tcMar>
          </w:tcPr>
          <w:p w14:paraId="085EF4A1" w14:textId="77777777" w:rsidR="008F13A2" w:rsidRDefault="008F13A2" w:rsidP="00A935CE">
            <w:pPr>
              <w:spacing w:before="50" w:after="50"/>
            </w:pPr>
            <w:r>
              <w:rPr>
                <w:rFonts w:ascii="Calibri" w:eastAsia="Calibri" w:hAnsi="Calibri" w:cs="Calibri"/>
                <w:b/>
                <w:bCs/>
                <w:color w:val="FFFFFF"/>
                <w:sz w:val="20"/>
                <w:szCs w:val="20"/>
              </w:rPr>
              <w:lastRenderedPageBreak/>
              <w:t>Modelo</w:t>
            </w:r>
          </w:p>
        </w:tc>
        <w:tc>
          <w:tcPr>
            <w:tcW w:w="2400" w:type="dxa"/>
            <w:shd w:val="clear" w:color="auto" w:fill="1F3864"/>
            <w:tcMar>
              <w:left w:w="110" w:type="dxa"/>
              <w:right w:w="110" w:type="dxa"/>
            </w:tcMar>
          </w:tcPr>
          <w:p w14:paraId="3DDB74E4" w14:textId="0A87F188" w:rsidR="008F13A2" w:rsidRDefault="008F13A2" w:rsidP="00A935CE">
            <w:pPr>
              <w:spacing w:before="50" w:after="50"/>
              <w:jc w:val="center"/>
            </w:pPr>
            <w:r>
              <w:rPr>
                <w:rFonts w:ascii="Calibri" w:eastAsia="Calibri" w:hAnsi="Calibri" w:cs="Calibri"/>
                <w:b/>
                <w:bCs/>
                <w:color w:val="FFFFFF"/>
                <w:sz w:val="20"/>
                <w:szCs w:val="20"/>
              </w:rPr>
              <w:t>Capacidad de acierto (</w:t>
            </w:r>
            <w:r>
              <w:rPr>
                <w:rFonts w:ascii="Calibri" w:eastAsia="Calibri" w:hAnsi="Calibri" w:cs="Calibri"/>
                <w:b/>
                <w:bCs/>
                <w:color w:val="FFFFFF"/>
                <w:sz w:val="20"/>
                <w:szCs w:val="20"/>
              </w:rPr>
              <w:t xml:space="preserve">Métrica </w:t>
            </w:r>
            <w:r>
              <w:rPr>
                <w:rFonts w:ascii="Calibri" w:eastAsia="Calibri" w:hAnsi="Calibri" w:cs="Calibri"/>
                <w:b/>
                <w:bCs/>
                <w:color w:val="FFFFFF"/>
                <w:sz w:val="20"/>
                <w:szCs w:val="20"/>
              </w:rPr>
              <w:t>AUC)</w:t>
            </w:r>
          </w:p>
        </w:tc>
        <w:tc>
          <w:tcPr>
            <w:tcW w:w="4000" w:type="dxa"/>
            <w:shd w:val="clear" w:color="auto" w:fill="1F3864"/>
            <w:tcMar>
              <w:left w:w="110" w:type="dxa"/>
              <w:right w:w="110" w:type="dxa"/>
            </w:tcMar>
          </w:tcPr>
          <w:p w14:paraId="272035B5" w14:textId="77777777" w:rsidR="008F13A2" w:rsidRDefault="008F13A2" w:rsidP="00A935CE">
            <w:pPr>
              <w:spacing w:before="50" w:after="50"/>
              <w:jc w:val="center"/>
            </w:pPr>
            <w:r>
              <w:rPr>
                <w:rFonts w:ascii="Calibri" w:eastAsia="Calibri" w:hAnsi="Calibri" w:cs="Calibri"/>
                <w:b/>
                <w:bCs/>
                <w:color w:val="FFFFFF"/>
                <w:sz w:val="20"/>
                <w:szCs w:val="20"/>
              </w:rPr>
              <w:t>Interpretación</w:t>
            </w:r>
          </w:p>
        </w:tc>
      </w:tr>
      <w:tr w:rsidR="008F13A2" w14:paraId="78C068C6" w14:textId="77777777" w:rsidTr="00A935CE">
        <w:tblPrEx>
          <w:tblCellMar>
            <w:top w:w="0" w:type="dxa"/>
            <w:bottom w:w="0" w:type="dxa"/>
          </w:tblCellMar>
        </w:tblPrEx>
        <w:tc>
          <w:tcPr>
            <w:tcW w:w="2600" w:type="dxa"/>
            <w:tcMar>
              <w:left w:w="110" w:type="dxa"/>
              <w:right w:w="110" w:type="dxa"/>
            </w:tcMar>
          </w:tcPr>
          <w:p w14:paraId="6E8BB31C" w14:textId="77777777" w:rsidR="008F13A2" w:rsidRDefault="008F13A2" w:rsidP="00A935CE">
            <w:pPr>
              <w:spacing w:before="50" w:after="50"/>
            </w:pPr>
            <w:proofErr w:type="spellStart"/>
            <w:r>
              <w:rPr>
                <w:rFonts w:ascii="Calibri" w:eastAsia="Calibri" w:hAnsi="Calibri" w:cs="Calibri"/>
                <w:b/>
                <w:bCs/>
                <w:sz w:val="20"/>
                <w:szCs w:val="20"/>
              </w:rPr>
              <w:t>XGBoost</w:t>
            </w:r>
            <w:proofErr w:type="spellEnd"/>
            <w:r>
              <w:rPr>
                <w:rFonts w:ascii="Calibri" w:eastAsia="Calibri" w:hAnsi="Calibri" w:cs="Calibri"/>
                <w:b/>
                <w:bCs/>
                <w:sz w:val="20"/>
                <w:szCs w:val="20"/>
              </w:rPr>
              <w:t xml:space="preserve"> (elegido)</w:t>
            </w:r>
          </w:p>
        </w:tc>
        <w:tc>
          <w:tcPr>
            <w:tcW w:w="2400" w:type="dxa"/>
            <w:tcMar>
              <w:left w:w="110" w:type="dxa"/>
              <w:right w:w="110" w:type="dxa"/>
            </w:tcMar>
          </w:tcPr>
          <w:p w14:paraId="0063223A" w14:textId="77777777" w:rsidR="008F13A2" w:rsidRDefault="008F13A2" w:rsidP="00A935CE">
            <w:pPr>
              <w:spacing w:before="50" w:after="50"/>
              <w:jc w:val="center"/>
            </w:pPr>
            <w:r>
              <w:rPr>
                <w:rFonts w:ascii="Calibri" w:eastAsia="Calibri" w:hAnsi="Calibri" w:cs="Calibri"/>
                <w:sz w:val="20"/>
                <w:szCs w:val="20"/>
              </w:rPr>
              <w:t>0,837</w:t>
            </w:r>
          </w:p>
        </w:tc>
        <w:tc>
          <w:tcPr>
            <w:tcW w:w="4000" w:type="dxa"/>
            <w:tcMar>
              <w:left w:w="110" w:type="dxa"/>
              <w:right w:w="110" w:type="dxa"/>
            </w:tcMar>
          </w:tcPr>
          <w:p w14:paraId="7624B1A8" w14:textId="77777777" w:rsidR="008F13A2" w:rsidRDefault="008F13A2" w:rsidP="00A935CE">
            <w:pPr>
              <w:spacing w:before="50" w:after="50"/>
              <w:jc w:val="center"/>
            </w:pPr>
            <w:r>
              <w:rPr>
                <w:rFonts w:ascii="Calibri" w:eastAsia="Calibri" w:hAnsi="Calibri" w:cs="Calibri"/>
                <w:sz w:val="20"/>
                <w:szCs w:val="20"/>
              </w:rPr>
              <w:t>Distingue bien pagadores de morosos</w:t>
            </w:r>
          </w:p>
        </w:tc>
      </w:tr>
      <w:tr w:rsidR="008F13A2" w14:paraId="0B44C988" w14:textId="77777777" w:rsidTr="00A935CE">
        <w:tblPrEx>
          <w:tblCellMar>
            <w:top w:w="0" w:type="dxa"/>
            <w:bottom w:w="0" w:type="dxa"/>
          </w:tblCellMar>
        </w:tblPrEx>
        <w:tc>
          <w:tcPr>
            <w:tcW w:w="2600" w:type="dxa"/>
            <w:shd w:val="clear" w:color="auto" w:fill="EDF1F7"/>
            <w:tcMar>
              <w:left w:w="110" w:type="dxa"/>
              <w:right w:w="110" w:type="dxa"/>
            </w:tcMar>
          </w:tcPr>
          <w:p w14:paraId="08806DFE" w14:textId="77777777" w:rsidR="008F13A2" w:rsidRDefault="008F13A2" w:rsidP="00A935CE">
            <w:pPr>
              <w:spacing w:before="50" w:after="50"/>
            </w:pPr>
            <w:proofErr w:type="spellStart"/>
            <w:r>
              <w:rPr>
                <w:rFonts w:ascii="Calibri" w:eastAsia="Calibri" w:hAnsi="Calibri" w:cs="Calibri"/>
                <w:b/>
                <w:bCs/>
                <w:sz w:val="20"/>
                <w:szCs w:val="20"/>
              </w:rPr>
              <w:t>CatBoost</w:t>
            </w:r>
            <w:proofErr w:type="spellEnd"/>
          </w:p>
        </w:tc>
        <w:tc>
          <w:tcPr>
            <w:tcW w:w="2400" w:type="dxa"/>
            <w:shd w:val="clear" w:color="auto" w:fill="EDF1F7"/>
            <w:tcMar>
              <w:left w:w="110" w:type="dxa"/>
              <w:right w:w="110" w:type="dxa"/>
            </w:tcMar>
          </w:tcPr>
          <w:p w14:paraId="420858B4" w14:textId="77777777" w:rsidR="008F13A2" w:rsidRDefault="008F13A2" w:rsidP="00A935CE">
            <w:pPr>
              <w:spacing w:before="50" w:after="50"/>
              <w:jc w:val="center"/>
            </w:pPr>
            <w:r>
              <w:rPr>
                <w:rFonts w:ascii="Calibri" w:eastAsia="Calibri" w:hAnsi="Calibri" w:cs="Calibri"/>
                <w:sz w:val="20"/>
                <w:szCs w:val="20"/>
              </w:rPr>
              <w:t>0,836</w:t>
            </w:r>
          </w:p>
        </w:tc>
        <w:tc>
          <w:tcPr>
            <w:tcW w:w="4000" w:type="dxa"/>
            <w:shd w:val="clear" w:color="auto" w:fill="EDF1F7"/>
            <w:tcMar>
              <w:left w:w="110" w:type="dxa"/>
              <w:right w:w="110" w:type="dxa"/>
            </w:tcMar>
          </w:tcPr>
          <w:p w14:paraId="553FCA68" w14:textId="77777777" w:rsidR="008F13A2" w:rsidRDefault="008F13A2" w:rsidP="00A935CE">
            <w:pPr>
              <w:spacing w:before="50" w:after="50"/>
              <w:jc w:val="center"/>
            </w:pPr>
            <w:r>
              <w:rPr>
                <w:rFonts w:ascii="Calibri" w:eastAsia="Calibri" w:hAnsi="Calibri" w:cs="Calibri"/>
                <w:sz w:val="20"/>
                <w:szCs w:val="20"/>
              </w:rPr>
              <w:t>Prácticamente igual</w:t>
            </w:r>
          </w:p>
        </w:tc>
      </w:tr>
      <w:tr w:rsidR="008F13A2" w14:paraId="235F8EA8" w14:textId="77777777" w:rsidTr="00A935CE">
        <w:tblPrEx>
          <w:tblCellMar>
            <w:top w:w="0" w:type="dxa"/>
            <w:bottom w:w="0" w:type="dxa"/>
          </w:tblCellMar>
        </w:tblPrEx>
        <w:tc>
          <w:tcPr>
            <w:tcW w:w="2600" w:type="dxa"/>
            <w:tcMar>
              <w:left w:w="110" w:type="dxa"/>
              <w:right w:w="110" w:type="dxa"/>
            </w:tcMar>
          </w:tcPr>
          <w:p w14:paraId="68F42066" w14:textId="77777777" w:rsidR="008F13A2" w:rsidRDefault="008F13A2" w:rsidP="00A935CE">
            <w:pPr>
              <w:spacing w:before="50" w:after="50"/>
            </w:pPr>
            <w:proofErr w:type="spellStart"/>
            <w:r>
              <w:rPr>
                <w:rFonts w:ascii="Calibri" w:eastAsia="Calibri" w:hAnsi="Calibri" w:cs="Calibri"/>
                <w:b/>
                <w:bCs/>
                <w:sz w:val="20"/>
                <w:szCs w:val="20"/>
              </w:rPr>
              <w:t>LightGBM</w:t>
            </w:r>
            <w:proofErr w:type="spellEnd"/>
          </w:p>
        </w:tc>
        <w:tc>
          <w:tcPr>
            <w:tcW w:w="2400" w:type="dxa"/>
            <w:tcMar>
              <w:left w:w="110" w:type="dxa"/>
              <w:right w:w="110" w:type="dxa"/>
            </w:tcMar>
          </w:tcPr>
          <w:p w14:paraId="788BD985" w14:textId="77777777" w:rsidR="008F13A2" w:rsidRDefault="008F13A2" w:rsidP="00A935CE">
            <w:pPr>
              <w:spacing w:before="50" w:after="50"/>
              <w:jc w:val="center"/>
            </w:pPr>
            <w:r>
              <w:rPr>
                <w:rFonts w:ascii="Calibri" w:eastAsia="Calibri" w:hAnsi="Calibri" w:cs="Calibri"/>
                <w:sz w:val="20"/>
                <w:szCs w:val="20"/>
              </w:rPr>
              <w:t>0,835</w:t>
            </w:r>
          </w:p>
        </w:tc>
        <w:tc>
          <w:tcPr>
            <w:tcW w:w="4000" w:type="dxa"/>
            <w:tcMar>
              <w:left w:w="110" w:type="dxa"/>
              <w:right w:w="110" w:type="dxa"/>
            </w:tcMar>
          </w:tcPr>
          <w:p w14:paraId="2824B5CF" w14:textId="77777777" w:rsidR="008F13A2" w:rsidRDefault="008F13A2" w:rsidP="00A935CE">
            <w:pPr>
              <w:spacing w:before="50" w:after="50"/>
              <w:jc w:val="center"/>
            </w:pPr>
            <w:r>
              <w:rPr>
                <w:rFonts w:ascii="Calibri" w:eastAsia="Calibri" w:hAnsi="Calibri" w:cs="Calibri"/>
                <w:sz w:val="20"/>
                <w:szCs w:val="20"/>
              </w:rPr>
              <w:t>Prácticamente igual</w:t>
            </w:r>
          </w:p>
        </w:tc>
      </w:tr>
    </w:tbl>
    <w:p w14:paraId="60E9DCAF" w14:textId="77777777" w:rsidR="008F13A2" w:rsidRDefault="008F13A2" w:rsidP="008F13A2"/>
    <w:p w14:paraId="31921AF1" w14:textId="3D588FDB" w:rsidR="008F13A2" w:rsidRDefault="008F13A2" w:rsidP="008F13A2">
      <w:r w:rsidRPr="008F13A2">
        <w:t>Un AUC de 0,84 significa que, tomando al azar un cliente que pagó y uno que no, el modelo le asigna correctamente mayor riesgo al segundo el 84% de las veces. Es un nivel sólido y realista para riesgo de crédito</w:t>
      </w:r>
      <w:r>
        <w:t>, así evitamos tenemos modelos que prometen altas capacidades de acierto, cuando en realidad están mejor adecuados a los datos con los que se entrenaron y no son capaces de realizar buenas predicciones en datos de nuevos solicitantes.</w:t>
      </w:r>
    </w:p>
    <w:p w14:paraId="26F2C224" w14:textId="77777777" w:rsidR="00845D10" w:rsidRDefault="00845D10" w:rsidP="008F13A2"/>
    <w:p w14:paraId="3057B260" w14:textId="4E7F28BC" w:rsidR="00845D10" w:rsidRDefault="00845D10" w:rsidP="008F13A2">
      <w:r>
        <w:t>Política de aprobación recomendada</w:t>
      </w:r>
    </w:p>
    <w:p w14:paraId="69ABECDA" w14:textId="39B5CEC6" w:rsidR="00845D10" w:rsidRDefault="00845D10" w:rsidP="008F13A2">
      <w:r>
        <w:t>Se propone la regla:</w:t>
      </w:r>
      <w:r w:rsidRPr="00845D10">
        <w:t xml:space="preserve"> </w:t>
      </w:r>
      <w:r w:rsidRPr="00845D10">
        <w:rPr>
          <w:b/>
          <w:bCs/>
        </w:rPr>
        <w:t>aprobar una solicitud solo si el beneficio esperado supera al riesgo esperado.</w:t>
      </w:r>
      <w:r w:rsidRPr="00845D10">
        <w:t xml:space="preserve"> En la práctica, se aprueba cuando la probabilidad de mora está por debajo de un límite que depende del plazo del crédito, porque un crédito más largo genera más intereses y por eso tolera algo más de riesgo:</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845D10" w14:paraId="75B7DA66" w14:textId="77777777" w:rsidTr="00A935CE">
        <w:tblPrEx>
          <w:tblCellMar>
            <w:top w:w="0" w:type="dxa"/>
            <w:bottom w:w="0" w:type="dxa"/>
          </w:tblCellMar>
        </w:tblPrEx>
        <w:tc>
          <w:tcPr>
            <w:tcW w:w="3000" w:type="dxa"/>
            <w:shd w:val="clear" w:color="auto" w:fill="1F3864"/>
            <w:tcMar>
              <w:left w:w="110" w:type="dxa"/>
              <w:right w:w="110" w:type="dxa"/>
            </w:tcMar>
          </w:tcPr>
          <w:p w14:paraId="43656A7A" w14:textId="77777777" w:rsidR="00845D10" w:rsidRDefault="00845D10" w:rsidP="00A935CE">
            <w:pPr>
              <w:spacing w:before="50" w:after="50"/>
            </w:pPr>
            <w:r>
              <w:rPr>
                <w:rFonts w:ascii="Calibri" w:eastAsia="Calibri" w:hAnsi="Calibri" w:cs="Calibri"/>
                <w:b/>
                <w:bCs/>
                <w:color w:val="FFFFFF"/>
                <w:sz w:val="20"/>
                <w:szCs w:val="20"/>
              </w:rPr>
              <w:t>Plazo del crédito</w:t>
            </w:r>
          </w:p>
        </w:tc>
        <w:tc>
          <w:tcPr>
            <w:tcW w:w="3000" w:type="dxa"/>
            <w:shd w:val="clear" w:color="auto" w:fill="1F3864"/>
            <w:tcMar>
              <w:left w:w="110" w:type="dxa"/>
              <w:right w:w="110" w:type="dxa"/>
            </w:tcMar>
          </w:tcPr>
          <w:p w14:paraId="24B2AD87" w14:textId="77777777" w:rsidR="00845D10" w:rsidRDefault="00845D10" w:rsidP="00A935CE">
            <w:pPr>
              <w:spacing w:before="50" w:after="50"/>
              <w:jc w:val="center"/>
            </w:pPr>
            <w:r>
              <w:rPr>
                <w:rFonts w:ascii="Calibri" w:eastAsia="Calibri" w:hAnsi="Calibri" w:cs="Calibri"/>
                <w:b/>
                <w:bCs/>
                <w:color w:val="FFFFFF"/>
                <w:sz w:val="20"/>
                <w:szCs w:val="20"/>
              </w:rPr>
              <w:t>Riesgo máximo aceptado para aprobar</w:t>
            </w:r>
          </w:p>
        </w:tc>
      </w:tr>
      <w:tr w:rsidR="00845D10" w14:paraId="2467BC0A" w14:textId="77777777" w:rsidTr="00A935CE">
        <w:tblPrEx>
          <w:tblCellMar>
            <w:top w:w="0" w:type="dxa"/>
            <w:bottom w:w="0" w:type="dxa"/>
          </w:tblCellMar>
        </w:tblPrEx>
        <w:tc>
          <w:tcPr>
            <w:tcW w:w="3000" w:type="dxa"/>
            <w:tcMar>
              <w:left w:w="110" w:type="dxa"/>
              <w:right w:w="110" w:type="dxa"/>
            </w:tcMar>
          </w:tcPr>
          <w:p w14:paraId="29426A66" w14:textId="77777777" w:rsidR="00845D10" w:rsidRDefault="00845D10" w:rsidP="00A935CE">
            <w:pPr>
              <w:spacing w:before="50" w:after="50"/>
            </w:pPr>
            <w:r>
              <w:rPr>
                <w:rFonts w:ascii="Calibri" w:eastAsia="Calibri" w:hAnsi="Calibri" w:cs="Calibri"/>
                <w:b/>
                <w:bCs/>
                <w:sz w:val="20"/>
                <w:szCs w:val="20"/>
              </w:rPr>
              <w:t>6 meses</w:t>
            </w:r>
          </w:p>
        </w:tc>
        <w:tc>
          <w:tcPr>
            <w:tcW w:w="3000" w:type="dxa"/>
            <w:tcMar>
              <w:left w:w="110" w:type="dxa"/>
              <w:right w:w="110" w:type="dxa"/>
            </w:tcMar>
          </w:tcPr>
          <w:p w14:paraId="73F8A1E5" w14:textId="77777777" w:rsidR="00845D10" w:rsidRDefault="00845D10" w:rsidP="00A935CE">
            <w:pPr>
              <w:spacing w:before="50" w:after="50"/>
              <w:jc w:val="center"/>
            </w:pPr>
            <w:r>
              <w:rPr>
                <w:rFonts w:ascii="Calibri" w:eastAsia="Calibri" w:hAnsi="Calibri" w:cs="Calibri"/>
                <w:sz w:val="20"/>
                <w:szCs w:val="20"/>
              </w:rPr>
              <w:t>5,2%</w:t>
            </w:r>
          </w:p>
        </w:tc>
      </w:tr>
      <w:tr w:rsidR="00845D10" w14:paraId="33363DAD" w14:textId="77777777" w:rsidTr="00A935CE">
        <w:tblPrEx>
          <w:tblCellMar>
            <w:top w:w="0" w:type="dxa"/>
            <w:bottom w:w="0" w:type="dxa"/>
          </w:tblCellMar>
        </w:tblPrEx>
        <w:tc>
          <w:tcPr>
            <w:tcW w:w="3000" w:type="dxa"/>
            <w:shd w:val="clear" w:color="auto" w:fill="EDF1F7"/>
            <w:tcMar>
              <w:left w:w="110" w:type="dxa"/>
              <w:right w:w="110" w:type="dxa"/>
            </w:tcMar>
          </w:tcPr>
          <w:p w14:paraId="3AA58A33" w14:textId="77777777" w:rsidR="00845D10" w:rsidRDefault="00845D10" w:rsidP="00A935CE">
            <w:pPr>
              <w:spacing w:before="50" w:after="50"/>
            </w:pPr>
            <w:r>
              <w:rPr>
                <w:rFonts w:ascii="Calibri" w:eastAsia="Calibri" w:hAnsi="Calibri" w:cs="Calibri"/>
                <w:b/>
                <w:bCs/>
                <w:sz w:val="20"/>
                <w:szCs w:val="20"/>
              </w:rPr>
              <w:t>12 meses</w:t>
            </w:r>
          </w:p>
        </w:tc>
        <w:tc>
          <w:tcPr>
            <w:tcW w:w="3000" w:type="dxa"/>
            <w:shd w:val="clear" w:color="auto" w:fill="EDF1F7"/>
            <w:tcMar>
              <w:left w:w="110" w:type="dxa"/>
              <w:right w:w="110" w:type="dxa"/>
            </w:tcMar>
          </w:tcPr>
          <w:p w14:paraId="7BB393B3" w14:textId="77777777" w:rsidR="00845D10" w:rsidRDefault="00845D10" w:rsidP="00A935CE">
            <w:pPr>
              <w:spacing w:before="50" w:after="50"/>
              <w:jc w:val="center"/>
            </w:pPr>
            <w:r>
              <w:rPr>
                <w:rFonts w:ascii="Calibri" w:eastAsia="Calibri" w:hAnsi="Calibri" w:cs="Calibri"/>
                <w:sz w:val="20"/>
                <w:szCs w:val="20"/>
              </w:rPr>
              <w:t>9,8%</w:t>
            </w:r>
          </w:p>
        </w:tc>
      </w:tr>
      <w:tr w:rsidR="00845D10" w14:paraId="7C5849F8" w14:textId="77777777" w:rsidTr="00A935CE">
        <w:tblPrEx>
          <w:tblCellMar>
            <w:top w:w="0" w:type="dxa"/>
            <w:bottom w:w="0" w:type="dxa"/>
          </w:tblCellMar>
        </w:tblPrEx>
        <w:tc>
          <w:tcPr>
            <w:tcW w:w="3000" w:type="dxa"/>
            <w:tcMar>
              <w:left w:w="110" w:type="dxa"/>
              <w:right w:w="110" w:type="dxa"/>
            </w:tcMar>
          </w:tcPr>
          <w:p w14:paraId="42E8F53B" w14:textId="77777777" w:rsidR="00845D10" w:rsidRDefault="00845D10" w:rsidP="00A935CE">
            <w:pPr>
              <w:spacing w:before="50" w:after="50"/>
            </w:pPr>
            <w:r>
              <w:rPr>
                <w:rFonts w:ascii="Calibri" w:eastAsia="Calibri" w:hAnsi="Calibri" w:cs="Calibri"/>
                <w:b/>
                <w:bCs/>
                <w:sz w:val="20"/>
                <w:szCs w:val="20"/>
              </w:rPr>
              <w:t>18 meses</w:t>
            </w:r>
          </w:p>
        </w:tc>
        <w:tc>
          <w:tcPr>
            <w:tcW w:w="3000" w:type="dxa"/>
            <w:tcMar>
              <w:left w:w="110" w:type="dxa"/>
              <w:right w:w="110" w:type="dxa"/>
            </w:tcMar>
          </w:tcPr>
          <w:p w14:paraId="7E14BB09" w14:textId="77777777" w:rsidR="00845D10" w:rsidRDefault="00845D10" w:rsidP="00A935CE">
            <w:pPr>
              <w:spacing w:before="50" w:after="50"/>
              <w:jc w:val="center"/>
            </w:pPr>
            <w:r>
              <w:rPr>
                <w:rFonts w:ascii="Calibri" w:eastAsia="Calibri" w:hAnsi="Calibri" w:cs="Calibri"/>
                <w:sz w:val="20"/>
                <w:szCs w:val="20"/>
              </w:rPr>
              <w:t>14,1%</w:t>
            </w:r>
          </w:p>
        </w:tc>
      </w:tr>
      <w:tr w:rsidR="00845D10" w14:paraId="547FBBC7" w14:textId="77777777" w:rsidTr="00A935CE">
        <w:tblPrEx>
          <w:tblCellMar>
            <w:top w:w="0" w:type="dxa"/>
            <w:bottom w:w="0" w:type="dxa"/>
          </w:tblCellMar>
        </w:tblPrEx>
        <w:tc>
          <w:tcPr>
            <w:tcW w:w="3000" w:type="dxa"/>
            <w:shd w:val="clear" w:color="auto" w:fill="EDF1F7"/>
            <w:tcMar>
              <w:left w:w="110" w:type="dxa"/>
              <w:right w:w="110" w:type="dxa"/>
            </w:tcMar>
          </w:tcPr>
          <w:p w14:paraId="621A991E" w14:textId="77777777" w:rsidR="00845D10" w:rsidRDefault="00845D10" w:rsidP="00A935CE">
            <w:pPr>
              <w:spacing w:before="50" w:after="50"/>
            </w:pPr>
            <w:r>
              <w:rPr>
                <w:rFonts w:ascii="Calibri" w:eastAsia="Calibri" w:hAnsi="Calibri" w:cs="Calibri"/>
                <w:b/>
                <w:bCs/>
                <w:sz w:val="20"/>
                <w:szCs w:val="20"/>
              </w:rPr>
              <w:t>24 meses</w:t>
            </w:r>
          </w:p>
        </w:tc>
        <w:tc>
          <w:tcPr>
            <w:tcW w:w="3000" w:type="dxa"/>
            <w:shd w:val="clear" w:color="auto" w:fill="EDF1F7"/>
            <w:tcMar>
              <w:left w:w="110" w:type="dxa"/>
              <w:right w:w="110" w:type="dxa"/>
            </w:tcMar>
          </w:tcPr>
          <w:p w14:paraId="3170EEA3" w14:textId="77777777" w:rsidR="00845D10" w:rsidRDefault="00845D10" w:rsidP="00A935CE">
            <w:pPr>
              <w:spacing w:before="50" w:after="50"/>
              <w:jc w:val="center"/>
            </w:pPr>
            <w:r>
              <w:rPr>
                <w:rFonts w:ascii="Calibri" w:eastAsia="Calibri" w:hAnsi="Calibri" w:cs="Calibri"/>
                <w:sz w:val="20"/>
                <w:szCs w:val="20"/>
              </w:rPr>
              <w:t>17,9%</w:t>
            </w:r>
          </w:p>
        </w:tc>
      </w:tr>
      <w:tr w:rsidR="00845D10" w14:paraId="0AD7896E" w14:textId="77777777" w:rsidTr="00A935CE">
        <w:tblPrEx>
          <w:tblCellMar>
            <w:top w:w="0" w:type="dxa"/>
            <w:bottom w:w="0" w:type="dxa"/>
          </w:tblCellMar>
        </w:tblPrEx>
        <w:tc>
          <w:tcPr>
            <w:tcW w:w="3000" w:type="dxa"/>
            <w:tcMar>
              <w:left w:w="110" w:type="dxa"/>
              <w:right w:w="110" w:type="dxa"/>
            </w:tcMar>
          </w:tcPr>
          <w:p w14:paraId="4353B5F5" w14:textId="77777777" w:rsidR="00845D10" w:rsidRDefault="00845D10" w:rsidP="00A935CE">
            <w:pPr>
              <w:spacing w:before="50" w:after="50"/>
            </w:pPr>
            <w:r>
              <w:rPr>
                <w:rFonts w:ascii="Calibri" w:eastAsia="Calibri" w:hAnsi="Calibri" w:cs="Calibri"/>
                <w:b/>
                <w:bCs/>
                <w:sz w:val="20"/>
                <w:szCs w:val="20"/>
              </w:rPr>
              <w:t>36 meses</w:t>
            </w:r>
          </w:p>
        </w:tc>
        <w:tc>
          <w:tcPr>
            <w:tcW w:w="3000" w:type="dxa"/>
            <w:tcMar>
              <w:left w:w="110" w:type="dxa"/>
              <w:right w:w="110" w:type="dxa"/>
            </w:tcMar>
          </w:tcPr>
          <w:p w14:paraId="7D784AB9" w14:textId="77777777" w:rsidR="00845D10" w:rsidRDefault="00845D10" w:rsidP="00A935CE">
            <w:pPr>
              <w:spacing w:before="50" w:after="50"/>
              <w:jc w:val="center"/>
            </w:pPr>
            <w:r>
              <w:rPr>
                <w:rFonts w:ascii="Calibri" w:eastAsia="Calibri" w:hAnsi="Calibri" w:cs="Calibri"/>
                <w:sz w:val="20"/>
                <w:szCs w:val="20"/>
              </w:rPr>
              <w:t>24,7%</w:t>
            </w:r>
          </w:p>
        </w:tc>
      </w:tr>
      <w:tr w:rsidR="00845D10" w14:paraId="581385E0" w14:textId="77777777" w:rsidTr="00A935CE">
        <w:tblPrEx>
          <w:tblCellMar>
            <w:top w:w="0" w:type="dxa"/>
            <w:bottom w:w="0" w:type="dxa"/>
          </w:tblCellMar>
        </w:tblPrEx>
        <w:tc>
          <w:tcPr>
            <w:tcW w:w="3000" w:type="dxa"/>
            <w:shd w:val="clear" w:color="auto" w:fill="EDF1F7"/>
            <w:tcMar>
              <w:left w:w="110" w:type="dxa"/>
              <w:right w:w="110" w:type="dxa"/>
            </w:tcMar>
          </w:tcPr>
          <w:p w14:paraId="09BFFBEF" w14:textId="77777777" w:rsidR="00845D10" w:rsidRDefault="00845D10" w:rsidP="00A935CE">
            <w:pPr>
              <w:spacing w:before="50" w:after="50"/>
            </w:pPr>
            <w:r>
              <w:rPr>
                <w:rFonts w:ascii="Calibri" w:eastAsia="Calibri" w:hAnsi="Calibri" w:cs="Calibri"/>
                <w:b/>
                <w:bCs/>
                <w:sz w:val="20"/>
                <w:szCs w:val="20"/>
              </w:rPr>
              <w:t>48 meses</w:t>
            </w:r>
          </w:p>
        </w:tc>
        <w:tc>
          <w:tcPr>
            <w:tcW w:w="3000" w:type="dxa"/>
            <w:shd w:val="clear" w:color="auto" w:fill="EDF1F7"/>
            <w:tcMar>
              <w:left w:w="110" w:type="dxa"/>
              <w:right w:w="110" w:type="dxa"/>
            </w:tcMar>
          </w:tcPr>
          <w:p w14:paraId="2530B16E" w14:textId="77777777" w:rsidR="00845D10" w:rsidRDefault="00845D10" w:rsidP="00A935CE">
            <w:pPr>
              <w:spacing w:before="50" w:after="50"/>
              <w:jc w:val="center"/>
            </w:pPr>
            <w:r>
              <w:rPr>
                <w:rFonts w:ascii="Calibri" w:eastAsia="Calibri" w:hAnsi="Calibri" w:cs="Calibri"/>
                <w:sz w:val="20"/>
                <w:szCs w:val="20"/>
              </w:rPr>
              <w:t>30,4%</w:t>
            </w:r>
          </w:p>
        </w:tc>
      </w:tr>
    </w:tbl>
    <w:p w14:paraId="0537DA58" w14:textId="77777777" w:rsidR="00845D10" w:rsidRDefault="00845D10" w:rsidP="008F13A2"/>
    <w:p w14:paraId="380258A6" w14:textId="77777777" w:rsidR="00845D10" w:rsidRDefault="00845D10" w:rsidP="00845D10">
      <w:r>
        <w:t>Aplicada sobre el grupo de clientes recientes de prueba (donde ya conocemos quién pagó y quién no), esta política habría producido:</w:t>
      </w:r>
    </w:p>
    <w:p w14:paraId="4D0FBBF5" w14:textId="77777777" w:rsidR="00845D10" w:rsidRDefault="00845D10" w:rsidP="00845D10">
      <w:r>
        <w:t>•</w:t>
      </w:r>
      <w:r>
        <w:tab/>
        <w:t>Aprobación del 79% de las solicitudes (se rechaza al 21% de peor perfil).</w:t>
      </w:r>
    </w:p>
    <w:p w14:paraId="6FAA962B" w14:textId="77777777" w:rsidR="00845D10" w:rsidRDefault="00845D10" w:rsidP="00845D10">
      <w:r>
        <w:t>•</w:t>
      </w:r>
      <w:r>
        <w:tab/>
        <w:t>La mora de la cartera aprobada baja de 12,3% a 5,9%: menos de la mitad.</w:t>
      </w:r>
    </w:p>
    <w:p w14:paraId="7E4FEC99" w14:textId="77777777" w:rsidR="00845D10" w:rsidRDefault="00845D10" w:rsidP="00845D10">
      <w:r>
        <w:t>•</w:t>
      </w:r>
      <w:r>
        <w:tab/>
        <w:t>La ganancia sube de 337 a 1.083 millones de pesos (+221%) frente a aprobar a todos. Rechazar al 21% más riesgoso evita pérdidas muy superiores a los intereses que se dejan de ganar.</w:t>
      </w:r>
    </w:p>
    <w:p w14:paraId="56C72C74" w14:textId="5B34A8E2" w:rsidR="00845D10" w:rsidRDefault="00845D10" w:rsidP="00845D10">
      <w:r>
        <w:lastRenderedPageBreak/>
        <w:t>Proyectado sobre las 12.000 solicitudes nuevas pendientes de decisión, la política aprobaría el 77% y se estima una ganancia de 1.286 millones de pesos frente a 693 millones si se aprobara todo.</w:t>
      </w:r>
    </w:p>
    <w:p w14:paraId="469EC11A" w14:textId="77777777" w:rsidR="00845D10" w:rsidRDefault="00845D10" w:rsidP="008F13A2"/>
    <w:sectPr w:rsidR="00845D10">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05604" w14:textId="77777777" w:rsidR="00091E54" w:rsidRDefault="00091E54" w:rsidP="00064255">
      <w:pPr>
        <w:spacing w:after="0" w:line="240" w:lineRule="auto"/>
      </w:pPr>
      <w:r>
        <w:separator/>
      </w:r>
    </w:p>
  </w:endnote>
  <w:endnote w:type="continuationSeparator" w:id="0">
    <w:p w14:paraId="1B8AC582" w14:textId="77777777" w:rsidR="00091E54" w:rsidRDefault="00091E54" w:rsidP="00064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069BA" w14:textId="77777777" w:rsidR="00091E54" w:rsidRDefault="00091E54" w:rsidP="00064255">
      <w:pPr>
        <w:spacing w:after="0" w:line="240" w:lineRule="auto"/>
      </w:pPr>
      <w:r>
        <w:separator/>
      </w:r>
    </w:p>
  </w:footnote>
  <w:footnote w:type="continuationSeparator" w:id="0">
    <w:p w14:paraId="71BE8BDE" w14:textId="77777777" w:rsidR="00091E54" w:rsidRDefault="00091E54" w:rsidP="00064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0C26" w14:textId="7C3E7656" w:rsidR="00064255" w:rsidRDefault="00064255">
    <w:pPr>
      <w:pStyle w:val="Encabezado"/>
    </w:pPr>
    <w:r>
      <w:rPr>
        <w:noProof/>
      </w:rPr>
      <w:drawing>
        <wp:anchor distT="0" distB="0" distL="114300" distR="114300" simplePos="0" relativeHeight="251658240" behindDoc="0" locked="0" layoutInCell="1" allowOverlap="1" wp14:anchorId="470D2137" wp14:editId="69313295">
          <wp:simplePos x="0" y="0"/>
          <wp:positionH relativeFrom="column">
            <wp:posOffset>-508635</wp:posOffset>
          </wp:positionH>
          <wp:positionV relativeFrom="paragraph">
            <wp:posOffset>-189230</wp:posOffset>
          </wp:positionV>
          <wp:extent cx="914400" cy="381000"/>
          <wp:effectExtent l="0" t="0" r="0" b="0"/>
          <wp:wrapThrough wrapText="bothSides">
            <wp:wrapPolygon edited="0">
              <wp:start x="0" y="0"/>
              <wp:lineTo x="0" y="20520"/>
              <wp:lineTo x="21150" y="20520"/>
              <wp:lineTo x="21150" y="0"/>
              <wp:lineTo x="0" y="0"/>
            </wp:wrapPolygon>
          </wp:wrapThrough>
          <wp:docPr id="1325038757" name="Imagen 1" descr="Crédito Hipotecario BICE | Rank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édito Hipotecario BICE | Rankia"/>
                  <pic:cNvPicPr>
                    <a:picLocks noChangeAspect="1" noChangeArrowheads="1"/>
                  </pic:cNvPicPr>
                </pic:nvPicPr>
                <pic:blipFill rotWithShape="1">
                  <a:blip r:embed="rId1">
                    <a:extLst>
                      <a:ext uri="{28A0092B-C50C-407E-A947-70E740481C1C}">
                        <a14:useLocalDpi xmlns:a14="http://schemas.microsoft.com/office/drawing/2010/main" val="0"/>
                      </a:ext>
                    </a:extLst>
                  </a:blip>
                  <a:srcRect l="14189" t="31601" r="12838" b="22528"/>
                  <a:stretch>
                    <a:fillRect/>
                  </a:stretch>
                </pic:blipFill>
                <pic:spPr bwMode="auto">
                  <a:xfrm>
                    <a:off x="0" y="0"/>
                    <a:ext cx="914400" cy="381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tab/>
      <w:t>Autor: Cristian Cabrera Sánchez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B2ABA"/>
    <w:multiLevelType w:val="hybridMultilevel"/>
    <w:tmpl w:val="DF44F9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130165F"/>
    <w:multiLevelType w:val="hybridMultilevel"/>
    <w:tmpl w:val="CAD25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68563024">
    <w:abstractNumId w:val="0"/>
  </w:num>
  <w:num w:numId="2" w16cid:durableId="447436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F5"/>
    <w:rsid w:val="00064255"/>
    <w:rsid w:val="00091E54"/>
    <w:rsid w:val="00581DDF"/>
    <w:rsid w:val="005B0F8D"/>
    <w:rsid w:val="00722BF5"/>
    <w:rsid w:val="00845D10"/>
    <w:rsid w:val="008F13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4D4C1"/>
  <w15:chartTrackingRefBased/>
  <w15:docId w15:val="{704BBCB8-A45F-4BFA-9718-28F7FC33B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2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2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2B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2B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2B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2B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2B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2B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2B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2B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2B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2B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2B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2B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2B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2B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2B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2BF5"/>
    <w:rPr>
      <w:rFonts w:eastAsiaTheme="majorEastAsia" w:cstheme="majorBidi"/>
      <w:color w:val="272727" w:themeColor="text1" w:themeTint="D8"/>
    </w:rPr>
  </w:style>
  <w:style w:type="paragraph" w:styleId="Ttulo">
    <w:name w:val="Title"/>
    <w:basedOn w:val="Normal"/>
    <w:next w:val="Normal"/>
    <w:link w:val="TtuloCar"/>
    <w:uiPriority w:val="10"/>
    <w:qFormat/>
    <w:rsid w:val="00722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2B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2B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2B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2BF5"/>
    <w:pPr>
      <w:spacing w:before="160"/>
      <w:jc w:val="center"/>
    </w:pPr>
    <w:rPr>
      <w:i/>
      <w:iCs/>
      <w:color w:val="404040" w:themeColor="text1" w:themeTint="BF"/>
    </w:rPr>
  </w:style>
  <w:style w:type="character" w:customStyle="1" w:styleId="CitaCar">
    <w:name w:val="Cita Car"/>
    <w:basedOn w:val="Fuentedeprrafopredeter"/>
    <w:link w:val="Cita"/>
    <w:uiPriority w:val="29"/>
    <w:rsid w:val="00722BF5"/>
    <w:rPr>
      <w:i/>
      <w:iCs/>
      <w:color w:val="404040" w:themeColor="text1" w:themeTint="BF"/>
    </w:rPr>
  </w:style>
  <w:style w:type="paragraph" w:styleId="Prrafodelista">
    <w:name w:val="List Paragraph"/>
    <w:basedOn w:val="Normal"/>
    <w:uiPriority w:val="34"/>
    <w:qFormat/>
    <w:rsid w:val="00722BF5"/>
    <w:pPr>
      <w:ind w:left="720"/>
      <w:contextualSpacing/>
    </w:pPr>
  </w:style>
  <w:style w:type="character" w:styleId="nfasisintenso">
    <w:name w:val="Intense Emphasis"/>
    <w:basedOn w:val="Fuentedeprrafopredeter"/>
    <w:uiPriority w:val="21"/>
    <w:qFormat/>
    <w:rsid w:val="00722BF5"/>
    <w:rPr>
      <w:i/>
      <w:iCs/>
      <w:color w:val="0F4761" w:themeColor="accent1" w:themeShade="BF"/>
    </w:rPr>
  </w:style>
  <w:style w:type="paragraph" w:styleId="Citadestacada">
    <w:name w:val="Intense Quote"/>
    <w:basedOn w:val="Normal"/>
    <w:next w:val="Normal"/>
    <w:link w:val="CitadestacadaCar"/>
    <w:uiPriority w:val="30"/>
    <w:qFormat/>
    <w:rsid w:val="00722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2BF5"/>
    <w:rPr>
      <w:i/>
      <w:iCs/>
      <w:color w:val="0F4761" w:themeColor="accent1" w:themeShade="BF"/>
    </w:rPr>
  </w:style>
  <w:style w:type="character" w:styleId="Referenciaintensa">
    <w:name w:val="Intense Reference"/>
    <w:basedOn w:val="Fuentedeprrafopredeter"/>
    <w:uiPriority w:val="32"/>
    <w:qFormat/>
    <w:rsid w:val="00722BF5"/>
    <w:rPr>
      <w:b/>
      <w:bCs/>
      <w:smallCaps/>
      <w:color w:val="0F4761" w:themeColor="accent1" w:themeShade="BF"/>
      <w:spacing w:val="5"/>
    </w:rPr>
  </w:style>
  <w:style w:type="paragraph" w:styleId="Encabezado">
    <w:name w:val="header"/>
    <w:basedOn w:val="Normal"/>
    <w:link w:val="EncabezadoCar"/>
    <w:uiPriority w:val="99"/>
    <w:unhideWhenUsed/>
    <w:rsid w:val="0006425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4255"/>
  </w:style>
  <w:style w:type="paragraph" w:styleId="Piedepgina">
    <w:name w:val="footer"/>
    <w:basedOn w:val="Normal"/>
    <w:link w:val="PiedepginaCar"/>
    <w:uiPriority w:val="99"/>
    <w:unhideWhenUsed/>
    <w:rsid w:val="0006425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4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572</Words>
  <Characters>3146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Steve Cabrera Sánchez</dc:creator>
  <cp:keywords/>
  <dc:description/>
  <cp:lastModifiedBy>Cristian Steve Cabrera Sánchez</cp:lastModifiedBy>
  <cp:revision>2</cp:revision>
  <dcterms:created xsi:type="dcterms:W3CDTF">2026-07-09T18:41:00Z</dcterms:created>
  <dcterms:modified xsi:type="dcterms:W3CDTF">2026-07-09T19:15:00Z</dcterms:modified>
</cp:coreProperties>
</file>