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Guía de Investigación: Evolución y Prospectiva Científica del Sistema "OptiStock" hacia un Entorno Avanzado de Entrenamiento Logístico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Institución:</w:t>
      </w:r>
      <w:r w:rsidDel="00000000" w:rsidR="00000000" w:rsidRPr="00000000">
        <w:rPr>
          <w:rFonts w:ascii="Google Sans" w:cs="Google Sans" w:eastAsia="Google Sans" w:hAnsi="Google Sans"/>
          <w:color w:val="1f1f1f"/>
          <w:rtl w:val="0"/>
        </w:rPr>
        <w:t xml:space="preserve"> Universidad Pontificia Bolivariana, Seccional Montería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Área de Aplicación:</w:t>
      </w:r>
      <w:r w:rsidDel="00000000" w:rsidR="00000000" w:rsidRPr="00000000">
        <w:rPr>
          <w:rFonts w:ascii="Google Sans" w:cs="Google Sans" w:eastAsia="Google Sans" w:hAnsi="Google Sans"/>
          <w:color w:val="1f1f1f"/>
          <w:rtl w:val="0"/>
        </w:rPr>
        <w:t xml:space="preserve"> Ingeniería Industrial, Gestión Logística, Optimización de Operaciones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documento describe la evolución metodológica y tecnológica del proyecto de investigación "OptiStock", concebido originariamente como una solución didáctica para mitigar la brecha entre la teoría y la práctica en la enseñanza del diseño de plantas y la gestión logística. A través de un análisis del estado del arte, el desarrollo de prototipos físicos, plataformas web iniciales y su reciente evolución a la arquitectura "OptiStock Pro 3.0", el sistema se ha consolidado como un entorno gamificado altamente escalable. Asimismo, este documento expande la fundamentación teórica del proyecto y formula los objetivos estratégicos que rigen su ciclo de vida, proyectando las etapas metodológicas requeridas para integrar analítica avanzada basada en ecosistemas Python, arquitecturas de Gemelos Digitales (Digital Twins), tecnologías de inmersión 3D y simulaciones estocásticas operativas, en el marco de la Industria 4.0.</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y Contextualización Científica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marco de la Industria 4.0, la formación en Ingeniería Industrial requiere la transición de metodologías magistrales hacia enfoques de aprendizaje activo y experiencial (Santos, Flores, &amp; Lima, 2019). Las competencias en gestión de la cadena de suministro, planificación de </w:t>
      </w:r>
      <w:r w:rsidDel="00000000" w:rsidR="00000000" w:rsidRPr="00000000">
        <w:rPr>
          <w:rFonts w:ascii="Google Sans" w:cs="Google Sans" w:eastAsia="Google Sans" w:hAnsi="Google Sans"/>
          <w:i w:val="1"/>
          <w:iCs w:val="1"/>
          <w:color w:val="1f1f1f"/>
          <w:rtl w:val="0"/>
        </w:rPr>
        <w:t xml:space="preserve">layouts</w:t>
      </w:r>
      <w:r w:rsidDel="00000000" w:rsidR="00000000" w:rsidRPr="00000000">
        <w:rPr>
          <w:rFonts w:ascii="Google Sans" w:cs="Google Sans" w:eastAsia="Google Sans" w:hAnsi="Google Sans"/>
          <w:color w:val="1f1f1f"/>
          <w:rtl w:val="0"/>
        </w:rPr>
        <w:t xml:space="preserve"> y optimización de flujos de materiales son intrínsecamente complejas y exigen entornos donde la toma de decisiones pueda evaluarse sin riesgos operativos ni financieros (Chopra &amp; Meindl, 2019).</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"OptiStock" nace en la Universidad Pontificia Bolivariana (UPB), Seccional Montería, como una innovación tecno-pedagógica de alto rigor científico. El sistema busca operacionalizar conceptos abstractos de ingeniería a través de la simulación gamificada y el análisis matemático, promoviendo en el estudiante la experimentación activa y la conceptualización algorítmica de métricas de rendimiento logístico (KPIs).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Objetivos de la Investigación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el control del proceso, la trazabilidad del desarrollo tecnológico y la validación científica de los resultados, se ha estructurado el siguiente esquema de objetivos.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Objetivo General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Diseñar, desarrollar y validar un entorno integral de simulación y entrenamiento logístico ("OptiStock"), fundamentado en la gamificación y la investigación de operaciones, orientado a fortalecer las competencias analíticas y prácticas en el diseño de plantas y gestión de cadenas de suministro, evolucionando progresivamente hacia una arquitectura de Gemelo Digital en el contexto de la Industria 4.0.</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Objetivos Específicos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materializar el objetivo general y llevar un control metódico del avance del proyecto, se plantean los siguientes objetivos específicos, correspondientes a las fases de maduración tecnológica: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de Conceptualización Kinestésica:</w:t>
      </w:r>
      <w:r w:rsidDel="00000000" w:rsidR="00000000" w:rsidRPr="00000000">
        <w:rPr>
          <w:rFonts w:ascii="Google Sans" w:cs="Google Sans" w:eastAsia="Google Sans" w:hAnsi="Google Sans"/>
          <w:color w:val="1f1f1f"/>
          <w:rtl w:val="0"/>
        </w:rPr>
        <w:t xml:space="preserve"> Estructurar un laboratorio físico basado en modelado 3D de escritorio para validar empíricamente los principios de distribución espacial (</w:t>
      </w:r>
      <w:r w:rsidDel="00000000" w:rsidR="00000000" w:rsidRPr="00000000">
        <w:rPr>
          <w:rFonts w:ascii="Google Sans" w:cs="Google Sans" w:eastAsia="Google Sans" w:hAnsi="Google Sans"/>
          <w:i w:val="1"/>
          <w:iCs w:val="1"/>
          <w:color w:val="1f1f1f"/>
          <w:rtl w:val="0"/>
        </w:rPr>
        <w:t xml:space="preserve">layout</w:t>
      </w:r>
      <w:r w:rsidDel="00000000" w:rsidR="00000000" w:rsidRPr="00000000">
        <w:rPr>
          <w:rFonts w:ascii="Google Sans" w:cs="Google Sans" w:eastAsia="Google Sans" w:hAnsi="Google Sans"/>
          <w:color w:val="1f1f1f"/>
          <w:rtl w:val="0"/>
        </w:rPr>
        <w:t xml:space="preserve">) y dinámicas de flujo logístico mediante el aprendizaje basado en roles.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de Desarrollo y Arquitectura de Software:</w:t>
      </w:r>
      <w:r w:rsidDel="00000000" w:rsidR="00000000" w:rsidRPr="00000000">
        <w:rPr>
          <w:rFonts w:ascii="Google Sans" w:cs="Google Sans" w:eastAsia="Google Sans" w:hAnsi="Google Sans"/>
          <w:color w:val="1f1f1f"/>
          <w:rtl w:val="0"/>
        </w:rPr>
        <w:t xml:space="preserve"> Construir y escalar una plataforma de simulación digital robusta (OptiStock Pro 3.0) que permita la captura precisa de tiempos, movimientos y costos en tiempo real, garantizando una arquitectura de alta disponibilidad para la gestión del estado operativo.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de Integración Analítica:</w:t>
      </w:r>
      <w:r w:rsidDel="00000000" w:rsidR="00000000" w:rsidRPr="00000000">
        <w:rPr>
          <w:rFonts w:ascii="Google Sans" w:cs="Google Sans" w:eastAsia="Google Sans" w:hAnsi="Google Sans"/>
          <w:color w:val="1f1f1f"/>
          <w:rtl w:val="0"/>
        </w:rPr>
        <w:t xml:space="preserve"> Formular e integrar modelos matemáticos de optimización lineal y algoritmos heurísticos mediante el acoplamiento de la plataforma con ecosistemas de programación científica (Python), habilitando el entrenamiento de modelos de inteligencia artificial y aprendizaje por refuerzo.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de Emulación Industrial e Inmersión:</w:t>
      </w:r>
      <w:r w:rsidDel="00000000" w:rsidR="00000000" w:rsidRPr="00000000">
        <w:rPr>
          <w:rFonts w:ascii="Google Sans" w:cs="Google Sans" w:eastAsia="Google Sans" w:hAnsi="Google Sans"/>
          <w:color w:val="1f1f1f"/>
          <w:rtl w:val="0"/>
        </w:rPr>
        <w:t xml:space="preserve"> Implementar capas de visualización inmersiva tridimensional (VR) y emulación de Sistemas de Gestión de Almacenes (WMS), evaluando el impacto de la cognición espacial y las variables ergonómicas en la toma de decisiones.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de Diversificación Operativa:</w:t>
      </w:r>
      <w:r w:rsidDel="00000000" w:rsidR="00000000" w:rsidRPr="00000000">
        <w:rPr>
          <w:rFonts w:ascii="Google Sans" w:cs="Google Sans" w:eastAsia="Google Sans" w:hAnsi="Google Sans"/>
          <w:color w:val="1f1f1f"/>
          <w:rtl w:val="0"/>
        </w:rPr>
        <w:t xml:space="preserve"> Diseñar e integrar modos de simulación estocástica centrados en el ingreso y despacho de mercancía, sometiendo al estudiante a la variabilidad de la demanda logística mediante la generación algorítmica de órdenes de trabajo.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de Validación y Transformación Cyber-Física:</w:t>
      </w:r>
      <w:r w:rsidDel="00000000" w:rsidR="00000000" w:rsidRPr="00000000">
        <w:rPr>
          <w:rFonts w:ascii="Google Sans" w:cs="Google Sans" w:eastAsia="Google Sans" w:hAnsi="Google Sans"/>
          <w:color w:val="1f1f1f"/>
          <w:rtl w:val="0"/>
        </w:rPr>
        <w:t xml:space="preserve"> Validar la eficacia pedagógica del sistema mediante diseños cuasi-experimentales en el aula, y escalar la arquitectura hacia un Gemelo Digital alimentado por datos históricos (</w:t>
      </w:r>
      <w:r w:rsidDel="00000000" w:rsidR="00000000" w:rsidRPr="00000000">
        <w:rPr>
          <w:rFonts w:ascii="Google Sans" w:cs="Google Sans" w:eastAsia="Google Sans" w:hAnsi="Google Sans"/>
          <w:i w:val="1"/>
          <w:iCs w:val="1"/>
          <w:color w:val="1f1f1f"/>
          <w:rtl w:val="0"/>
        </w:rPr>
        <w:t xml:space="preserve">Process Mining</w:t>
      </w:r>
      <w:r w:rsidDel="00000000" w:rsidR="00000000" w:rsidRPr="00000000">
        <w:rPr>
          <w:rFonts w:ascii="Google Sans" w:cs="Google Sans" w:eastAsia="Google Sans" w:hAnsi="Google Sans"/>
          <w:color w:val="1f1f1f"/>
          <w:rtl w:val="0"/>
        </w:rPr>
        <w:t xml:space="preserve">) provenientes del sector industrial regional.</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Marco Teórico Ampliado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dotar al proyecto de una solidez investigativa que respalde su evolución desde un juego de aula hasta un simulador de grado industrial, la teoría subyacente se expande en cuatro dimensiones clave: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Fundamentación Epistemológica: Constructivismo y Aprendizaje Experiencial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pedagógico de OptiStock rechaza el modelo de transmisión pasiva. Se fundamenta en el </w:t>
      </w:r>
      <w:r w:rsidDel="00000000" w:rsidR="00000000" w:rsidRPr="00000000">
        <w:rPr>
          <w:rFonts w:ascii="Google Sans" w:cs="Google Sans" w:eastAsia="Google Sans" w:hAnsi="Google Sans"/>
          <w:b w:val="1"/>
          <w:bCs w:val="1"/>
          <w:color w:val="1f1f1f"/>
          <w:rtl w:val="0"/>
        </w:rPr>
        <w:t xml:space="preserve">Ciclo de Aprendizaje Experiencial de Kolb (1984)</w:t>
      </w:r>
      <w:r w:rsidDel="00000000" w:rsidR="00000000" w:rsidRPr="00000000">
        <w:rPr>
          <w:rFonts w:ascii="Google Sans" w:cs="Google Sans" w:eastAsia="Google Sans" w:hAnsi="Google Sans"/>
          <w:color w:val="1f1f1f"/>
          <w:rtl w:val="0"/>
        </w:rPr>
        <w:t xml:space="preserve">, el cual se materializa en el software a través de un bucle continuo:</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Experiencia Concreta:</w:t>
      </w:r>
      <w:r w:rsidDel="00000000" w:rsidR="00000000" w:rsidRPr="00000000">
        <w:rPr>
          <w:rFonts w:ascii="Google Sans" w:cs="Google Sans" w:eastAsia="Google Sans" w:hAnsi="Google Sans"/>
          <w:color w:val="1f1f1f"/>
          <w:rtl w:val="0"/>
        </w:rPr>
        <w:t xml:space="preserve"> El estudiante interactúa con el simulador, ejecutando rutas de </w:t>
      </w:r>
      <w:r w:rsidDel="00000000" w:rsidR="00000000" w:rsidRPr="00000000">
        <w:rPr>
          <w:rFonts w:ascii="Google Sans" w:cs="Google Sans" w:eastAsia="Google Sans" w:hAnsi="Google Sans"/>
          <w:i w:val="1"/>
          <w:iCs w:val="1"/>
          <w:color w:val="1f1f1f"/>
          <w:rtl w:val="0"/>
        </w:rPr>
        <w:t xml:space="preserve">picking</w:t>
      </w:r>
      <w:r w:rsidDel="00000000" w:rsidR="00000000" w:rsidRPr="00000000">
        <w:rPr>
          <w:rFonts w:ascii="Google Sans" w:cs="Google Sans" w:eastAsia="Google Sans" w:hAnsi="Google Sans"/>
          <w:color w:val="1f1f1f"/>
          <w:rtl w:val="0"/>
        </w:rPr>
        <w:t xml:space="preserve"> o maniobrando en el laboratorio físico.</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Observación Reflexiva:</w:t>
      </w:r>
      <w:r w:rsidDel="00000000" w:rsidR="00000000" w:rsidRPr="00000000">
        <w:rPr>
          <w:rFonts w:ascii="Google Sans" w:cs="Google Sans" w:eastAsia="Google Sans" w:hAnsi="Google Sans"/>
          <w:color w:val="1f1f1f"/>
          <w:rtl w:val="0"/>
        </w:rPr>
        <w:t xml:space="preserve"> El sistema arroja un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de métricas instantáneo. El estudiante observa el impacto económico de las trayectorias ineficientes o los cuellos de botella generados por su diseño.</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Conceptualización Abstracta:</w:t>
      </w:r>
      <w:r w:rsidDel="00000000" w:rsidR="00000000" w:rsidRPr="00000000">
        <w:rPr>
          <w:rFonts w:ascii="Google Sans" w:cs="Google Sans" w:eastAsia="Google Sans" w:hAnsi="Google Sans"/>
          <w:color w:val="1f1f1f"/>
          <w:rtl w:val="0"/>
        </w:rPr>
        <w:t xml:space="preserve"> Se contrastan los resultados con las teorías de gestión logística (ej. el impacto de un diseño en "U" frente a un diseño modular).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Experimentación Activa (Iteración):</w:t>
      </w:r>
      <w:r w:rsidDel="00000000" w:rsidR="00000000" w:rsidRPr="00000000">
        <w:rPr>
          <w:rFonts w:ascii="Google Sans" w:cs="Google Sans" w:eastAsia="Google Sans" w:hAnsi="Google Sans"/>
          <w:color w:val="1f1f1f"/>
          <w:rtl w:val="0"/>
        </w:rPr>
        <w:t xml:space="preserve"> El usuario retorna al módulo de diseño para aplicar mejoras y reiniciar la simulación, aplicando el ciclo de Deming (Plan-Do-Check-Act).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bajo la teoría del </w:t>
      </w:r>
      <w:r w:rsidDel="00000000" w:rsidR="00000000" w:rsidRPr="00000000">
        <w:rPr>
          <w:rFonts w:ascii="Google Sans" w:cs="Google Sans" w:eastAsia="Google Sans" w:hAnsi="Google Sans"/>
          <w:b w:val="1"/>
          <w:bCs w:val="1"/>
          <w:color w:val="1f1f1f"/>
          <w:rtl w:val="0"/>
        </w:rPr>
        <w:t xml:space="preserve">Constructivismo Sociocultural (Vygotsky, 1978)</w:t>
      </w:r>
      <w:r w:rsidDel="00000000" w:rsidR="00000000" w:rsidRPr="00000000">
        <w:rPr>
          <w:rFonts w:ascii="Google Sans" w:cs="Google Sans" w:eastAsia="Google Sans" w:hAnsi="Google Sans"/>
          <w:color w:val="1f1f1f"/>
          <w:rtl w:val="0"/>
        </w:rPr>
        <w:t xml:space="preserve">, OptiStock actúa como la entidad que facilita la </w:t>
      </w:r>
      <w:r w:rsidDel="00000000" w:rsidR="00000000" w:rsidRPr="00000000">
        <w:rPr>
          <w:rFonts w:ascii="Google Sans" w:cs="Google Sans" w:eastAsia="Google Sans" w:hAnsi="Google Sans"/>
          <w:i w:val="1"/>
          <w:iCs w:val="1"/>
          <w:color w:val="1f1f1f"/>
          <w:rtl w:val="0"/>
        </w:rPr>
        <w:t xml:space="preserve">Zona de Desarrollo Próximo (ZDP)</w:t>
      </w:r>
      <w:r w:rsidDel="00000000" w:rsidR="00000000" w:rsidRPr="00000000">
        <w:rPr>
          <w:rFonts w:ascii="Google Sans" w:cs="Google Sans" w:eastAsia="Google Sans" w:hAnsi="Google Sans"/>
          <w:color w:val="1f1f1f"/>
          <w:rtl w:val="0"/>
        </w:rPr>
        <w:t xml:space="preserve">. El algoritmo del simulador provee el "andamiaje" (feedback inmediato y rutas óptimas teóricas) que guía al estudiante hacia la comprensión de la optimización estocástica sin la intervención constante de un tutor humano.</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Mecánicas de Gamificación en la Simulación Logística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gamificación se define como la aplicación de elementos de diseño de juegos en contextos no lúdicos (Deterding et al., 2011). En el contexto de OptiStock, la gamificación no se reduce a puntajes superficiales, sino a la integración de dinámicas que modulan el comportamiento frente a la resolución de problemas (Kapp, 2012).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implementan métricas unificadas donde el "Costo Operativo" actúa como el factor de penalización, enseñando el concepto fundamental del </w:t>
      </w:r>
      <w:r w:rsidDel="00000000" w:rsidR="00000000" w:rsidRPr="00000000">
        <w:rPr>
          <w:rFonts w:ascii="Google Sans" w:cs="Google Sans" w:eastAsia="Google Sans" w:hAnsi="Google Sans"/>
          <w:i w:val="1"/>
          <w:iCs w:val="1"/>
          <w:color w:val="1f1f1f"/>
          <w:rtl w:val="0"/>
        </w:rPr>
        <w:t xml:space="preserve">trade-off</w:t>
      </w:r>
      <w:r w:rsidDel="00000000" w:rsidR="00000000" w:rsidRPr="00000000">
        <w:rPr>
          <w:rFonts w:ascii="Google Sans" w:cs="Google Sans" w:eastAsia="Google Sans" w:hAnsi="Google Sans"/>
          <w:color w:val="1f1f1f"/>
          <w:rtl w:val="0"/>
        </w:rPr>
        <w:t xml:space="preserve"> logístico: maximizar la velocidad a menudo incurre en mayores distancias recorridas o mayores costos operativos si el diseño del </w:t>
      </w:r>
      <w:r w:rsidDel="00000000" w:rsidR="00000000" w:rsidRPr="00000000">
        <w:rPr>
          <w:rFonts w:ascii="Google Sans" w:cs="Google Sans" w:eastAsia="Google Sans" w:hAnsi="Google Sans"/>
          <w:i w:val="1"/>
          <w:iCs w:val="1"/>
          <w:color w:val="1f1f1f"/>
          <w:rtl w:val="0"/>
        </w:rPr>
        <w:t xml:space="preserve">layout</w:t>
      </w:r>
      <w:r w:rsidDel="00000000" w:rsidR="00000000" w:rsidRPr="00000000">
        <w:rPr>
          <w:rFonts w:ascii="Google Sans" w:cs="Google Sans" w:eastAsia="Google Sans" w:hAnsi="Google Sans"/>
          <w:color w:val="1f1f1f"/>
          <w:rtl w:val="0"/>
        </w:rPr>
        <w:t xml:space="preserve"> no es óptimo. El nivel de "maestría" del jugador se correlaciona directamente con su capacidad para minimizar la función objetivo algorítmica del problema logístico.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Investigación de Operaciones: El Problema de Enrutamiento (VRP-PD)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analítico, la simulación de OptiStock no es un simple movimiento gráfico, sino una representación topológica de un problema clásico de la ingeniería industrial. El movimiento del montacargas se modela teóricamente como un </w:t>
      </w:r>
      <w:r w:rsidDel="00000000" w:rsidR="00000000" w:rsidRPr="00000000">
        <w:rPr>
          <w:rFonts w:ascii="Google Sans" w:cs="Google Sans" w:eastAsia="Google Sans" w:hAnsi="Google Sans"/>
          <w:b w:val="1"/>
          <w:bCs w:val="1"/>
          <w:color w:val="1f1f1f"/>
          <w:rtl w:val="0"/>
        </w:rPr>
        <w:t xml:space="preserve">Vehicle Routing Problem with Pickup and Delivery (VRP-PD)</w:t>
      </w:r>
      <w:r w:rsidDel="00000000" w:rsidR="00000000" w:rsidRPr="00000000">
        <w:rPr>
          <w:rFonts w:ascii="Google Sans" w:cs="Google Sans" w:eastAsia="Google Sans" w:hAnsi="Google Sans"/>
          <w:color w:val="1f1f1f"/>
          <w:rtl w:val="0"/>
        </w:rPr>
        <w:t xml:space="preserve">. Este marco teórico establece que se debe satisfacer un conjunto de solicitudes de transporte, donde cada solicitud especifica un nodo de origen (materia prima o almacenamiento) y un nodo de destino (empaquetado o despacho), sujeto a restricciones de capacidad y conservación del flujo vehicular. La rigurosidad de este modelo permite que los datos generados por el estudiante puedan ser contrastados posteriormente con soluciones exactas generadas computacionalmente.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Industria 4.0 y Arquitectura de Gemelos Digitales (Digital Twins)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prospectiva del proyecto se fundamenta en los pilares de la Industria 4.0. Un Gemelo Digital no es meramente una representación 3D, sino un sistema ciber-físico que mantiene una conexión bidireccional con su contraparte real. OptiStock Pro 3.0 sienta las bases estructurales (bases de datos relacionales, control de estado reactivo) necesarias para ingerir datos empíricos. Al transitar hacia esta tecnología, el simulador permitirá predecir comportamientos logísticos bajo variabilidad estocástica, aplicando algoritmos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sobre grandes volúmenes de datos de simulación generados en la plataforma.</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Evolución del Proyecto y Estado Actual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ha atravesado distintas fases de maduración que combinan el diseño de hardware educativo con iteraciones de software de complejidad creciente.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Fase I: Laboratorio Físico y Aproximación Kinestésica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materialización del proyecto consistió en el desarrollo de una maqueta física a escala, manufacturada mediante impresión 3D. Este entorno incluye componentes modulares y se rige por la gamificación y el juego de roles. El objetivo central se enfoca en el análisis de tiempos y movimientos, forzando a los estudiantes a comprender heurísticamente la importancia del diseño del </w:t>
      </w:r>
      <w:r w:rsidDel="00000000" w:rsidR="00000000" w:rsidRPr="00000000">
        <w:rPr>
          <w:rFonts w:ascii="Google Sans" w:cs="Google Sans" w:eastAsia="Google Sans" w:hAnsi="Google Sans"/>
          <w:i w:val="1"/>
          <w:iCs w:val="1"/>
          <w:color w:val="1f1f1f"/>
          <w:rtl w:val="0"/>
        </w:rPr>
        <w:t xml:space="preserve">layout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Fase II: Prototipo Digital "OptiStock Lite" (Plataforma 2D)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superar las limitaciones espaciales del modelo físico, se desarrolló inicialmente la herramienta "OptiStock Lite". Este primer entorno web introdujo módulos interactivos clave como el Diseñador de Almacenes, un Simulador de Operaciones manual en cuadrícula y un Dashboard de Métricas básico.</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Fase III: Consolidación Arquitectónica "OptiStock Pro 3.0"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iteración actual del proyecto es la arquitectura </w:t>
      </w:r>
      <w:r w:rsidDel="00000000" w:rsidR="00000000" w:rsidRPr="00000000">
        <w:rPr>
          <w:rFonts w:ascii="Google Sans" w:cs="Google Sans" w:eastAsia="Google Sans" w:hAnsi="Google Sans"/>
          <w:b w:val="1"/>
          <w:bCs w:val="1"/>
          <w:color w:val="1f1f1f"/>
          <w:rtl w:val="0"/>
        </w:rPr>
        <w:t xml:space="preserve">OptiStock Pro 3.0</w:t>
      </w:r>
      <w:r w:rsidDel="00000000" w:rsidR="00000000" w:rsidRPr="00000000">
        <w:rPr>
          <w:rFonts w:ascii="Google Sans" w:cs="Google Sans" w:eastAsia="Google Sans" w:hAnsi="Google Sans"/>
          <w:color w:val="1f1f1f"/>
          <w:rtl w:val="0"/>
        </w:rPr>
        <w:t xml:space="preserve">. Esta actualización representa un salto cualitativo hacia un marco de simulación computacional de grado de investigación.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Arquitectura Robusta:</w:t>
      </w:r>
      <w:r w:rsidDel="00000000" w:rsidR="00000000" w:rsidRPr="00000000">
        <w:rPr>
          <w:rFonts w:ascii="Google Sans" w:cs="Google Sans" w:eastAsia="Google Sans" w:hAnsi="Google Sans"/>
          <w:color w:val="1f1f1f"/>
          <w:rtl w:val="0"/>
        </w:rPr>
        <w:t xml:space="preserve"> Permite la gestión de escenarios logísticos de mayor complejidad mediante el manejo avanzado del ciclo de vida de los componentes web y la concurrencia de operaciones.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Estados y Rendimiento:</w:t>
      </w:r>
      <w:r w:rsidDel="00000000" w:rsidR="00000000" w:rsidRPr="00000000">
        <w:rPr>
          <w:rFonts w:ascii="Google Sans" w:cs="Google Sans" w:eastAsia="Google Sans" w:hAnsi="Google Sans"/>
          <w:color w:val="1f1f1f"/>
          <w:rtl w:val="0"/>
        </w:rPr>
        <w:t xml:space="preserve"> Optimización en la captura y procesamiento de los KPIs, calculando con alta fidelidad las distancias de Manhattan o Euclidianas entre nodos operativos. Prepara el sistema para una fácil exportación de archivos estructurados (JSON/CSV) hacia bases de datos externas o </w:t>
      </w:r>
      <w:r w:rsidDel="00000000" w:rsidR="00000000" w:rsidRPr="00000000">
        <w:rPr>
          <w:rFonts w:ascii="Google Sans" w:cs="Google Sans" w:eastAsia="Google Sans" w:hAnsi="Google Sans"/>
          <w:i w:val="1"/>
          <w:iCs w:val="1"/>
          <w:color w:val="1f1f1f"/>
          <w:rtl w:val="0"/>
        </w:rPr>
        <w:t xml:space="preserve">scripts</w:t>
      </w:r>
      <w:r w:rsidDel="00000000" w:rsidR="00000000" w:rsidRPr="00000000">
        <w:rPr>
          <w:rFonts w:ascii="Google Sans" w:cs="Google Sans" w:eastAsia="Google Sans" w:hAnsi="Google Sans"/>
          <w:color w:val="1f1f1f"/>
          <w:rtl w:val="0"/>
        </w:rPr>
        <w:t xml:space="preserve"> analíticos.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Modelación Matemática del Sistema (Implementación OptiStock Pro)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a la versión Pro 3.0 consolida el modelo matemático del Problema de Enrutamiento con Recogidas y Entregas, formulado algebraicamente a través de Programación Lineal Entera Mixta (MILP):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Función Objetivo:</w:t>
      </w:r>
      <w:r w:rsidDel="00000000" w:rsidR="00000000" w:rsidRPr="00000000">
        <w:rPr>
          <w:rFonts w:ascii="Google Sans" w:cs="Google Sans" w:eastAsia="Google Sans" w:hAnsi="Google Sans"/>
          <w:color w:val="1f1f1f"/>
          <w:rtl w:val="0"/>
        </w:rPr>
        <w:t xml:space="preserve"> Minimización de la distancia total recorrida o costo equivalente.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Pr>
        <w:drawing>
          <wp:inline distB="19050" distT="19050" distL="19050" distR="19050">
            <wp:extent cx="5905500" cy="834203"/>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05500" cy="83420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Restricciones Operativas Clave: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Garantía de Servicio:</w:t>
      </w:r>
      <w:r w:rsidDel="00000000" w:rsidR="00000000" w:rsidRPr="00000000">
        <w:rPr>
          <w:rFonts w:ascii="Google Sans" w:cs="Google Sans" w:eastAsia="Google Sans" w:hAnsi="Google Sans"/>
          <w:color w:val="1f1f1f"/>
          <w:rtl w:val="0"/>
        </w:rPr>
        <w:t xml:space="preserve"> Todo nodo de Pickup (</w:t>
      </w:r>
      <w:r w:rsidDel="00000000" w:rsidR="00000000" w:rsidRPr="00000000">
        <w:rPr>
          <w:rFonts w:ascii="Google Sans" w:cs="Google Sans" w:eastAsia="Google Sans" w:hAnsi="Google Sans"/>
          <w:color w:val="1f1f1f"/>
        </w:rPr>
        <w:drawing>
          <wp:inline distB="19050" distT="19050" distL="19050" distR="19050">
            <wp:extent cx="173980" cy="251304"/>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73980" cy="251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Delivery (</w:t>
      </w:r>
      <w:r w:rsidDel="00000000" w:rsidR="00000000" w:rsidRPr="00000000">
        <w:rPr>
          <w:rFonts w:ascii="Google Sans" w:cs="Google Sans" w:eastAsia="Google Sans" w:hAnsi="Google Sans"/>
          <w:color w:val="1f1f1f"/>
        </w:rPr>
        <w:drawing>
          <wp:inline distB="19050" distT="19050" distL="19050" distR="19050">
            <wp:extent cx="177329" cy="24266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7329" cy="2426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asociado a un pedido </w:t>
      </w:r>
      <w:r w:rsidDel="00000000" w:rsidR="00000000" w:rsidRPr="00000000">
        <w:rPr>
          <w:rFonts w:ascii="Google Sans" w:cs="Google Sans" w:eastAsia="Google Sans" w:hAnsi="Google Sans"/>
          <w:color w:val="1f1f1f"/>
        </w:rPr>
        <w:drawing>
          <wp:inline distB="19050" distT="19050" distL="19050" distR="19050">
            <wp:extent cx="93836" cy="24397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3836" cy="243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debe ser visitado exactamente una vez.</w:t>
      </w:r>
      <w:r w:rsidDel="00000000" w:rsidR="00000000" w:rsidRPr="00000000">
        <w:rPr>
          <w:rFonts w:ascii="Google Sans" w:cs="Google Sans" w:eastAsia="Google Sans" w:hAnsi="Google Sans"/>
          <w:color w:val="1f1f1f"/>
        </w:rPr>
        <w:drawing>
          <wp:inline distB="19050" distT="19050" distL="19050" distR="19050">
            <wp:extent cx="5905500" cy="873288"/>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05500" cy="873288"/>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5905500" cy="87328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8732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Conservación del Flujo Vehicular:</w:t>
      </w:r>
      <w:r w:rsidDel="00000000" w:rsidR="00000000" w:rsidRPr="00000000">
        <w:rPr>
          <w:rFonts w:ascii="Google Sans" w:cs="Google Sans" w:eastAsia="Google Sans" w:hAnsi="Google Sans"/>
          <w:b w:val="1"/>
          <w:bCs w:val="1"/>
          <w:color w:val="1f1f1f"/>
        </w:rPr>
        <w:drawing>
          <wp:inline distB="19050" distT="19050" distL="19050" distR="19050">
            <wp:extent cx="5905500" cy="873288"/>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05500" cy="8732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Restricciones de Capacidad Continuas:</w:t>
      </w:r>
      <w:r w:rsidDel="00000000" w:rsidR="00000000" w:rsidRPr="00000000">
        <w:rPr>
          <w:rFonts w:ascii="Google Sans" w:cs="Google Sans" w:eastAsia="Google Sans" w:hAnsi="Google Sans"/>
          <w:color w:val="1f1f1f"/>
          <w:rtl w:val="0"/>
        </w:rPr>
        <w:t xml:space="preserve"> La carga acumulada </w:t>
      </w:r>
      <w:r w:rsidDel="00000000" w:rsidR="00000000" w:rsidRPr="00000000">
        <w:rPr>
          <w:rFonts w:ascii="Google Sans" w:cs="Google Sans" w:eastAsia="Google Sans" w:hAnsi="Google Sans"/>
          <w:color w:val="1f1f1f"/>
        </w:rPr>
        <w:drawing>
          <wp:inline distB="19050" distT="19050" distL="19050" distR="19050">
            <wp:extent cx="147712" cy="249264"/>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7712" cy="249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visitar el nodo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define dinámicamente según la naturaleza de la carga </w:t>
      </w:r>
      <w:r w:rsidDel="00000000" w:rsidR="00000000" w:rsidRPr="00000000">
        <w:rPr>
          <w:rFonts w:ascii="Google Sans" w:cs="Google Sans" w:eastAsia="Google Sans" w:hAnsi="Google Sans"/>
          <w:color w:val="1f1f1f"/>
        </w:rPr>
        <w:drawing>
          <wp:inline distB="19050" distT="19050" distL="19050" distR="19050">
            <wp:extent cx="607293" cy="246713"/>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07293" cy="246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(positiva para recogida, negativa para entrega), acotada por una constante grande </w:t>
      </w:r>
      <w:r w:rsidDel="00000000" w:rsidR="00000000" w:rsidRPr="00000000">
        <w:rPr>
          <w:rFonts w:ascii="Google Sans" w:cs="Google Sans" w:eastAsia="Google Sans" w:hAnsi="Google Sans"/>
          <w:color w:val="1f1f1f"/>
        </w:rPr>
        <w:drawing>
          <wp:inline distB="19050" distT="19050" distL="19050" distR="19050">
            <wp:extent cx="211336" cy="249761"/>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11336" cy="24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657127"/>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05500" cy="657127"/>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5905500" cy="657127"/>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05500" cy="65712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Eliminación de Sub-Rutas Aisladas (Formulación de Miller-Tucker-Zemlin):</w:t>
      </w:r>
      <w:r w:rsidDel="00000000" w:rsidR="00000000" w:rsidRPr="00000000">
        <w:rPr>
          <w:rFonts w:ascii="Google Sans" w:cs="Google Sans" w:eastAsia="Google Sans" w:hAnsi="Google Sans"/>
          <w:b w:val="1"/>
          <w:bCs w:val="1"/>
          <w:color w:val="1f1f1f"/>
        </w:rPr>
        <w:drawing>
          <wp:inline distB="19050" distT="19050" distL="19050" distR="19050">
            <wp:extent cx="5905500" cy="657127"/>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05500" cy="6571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Prospectiva y Etapas Siguientes: Hacia el Entrenamiento Analítico y el Gemelo Digital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Teniendo como pilar la robustez de </w:t>
      </w:r>
      <w:r w:rsidDel="00000000" w:rsidR="00000000" w:rsidRPr="00000000">
        <w:rPr>
          <w:rFonts w:ascii="Google Sans" w:cs="Google Sans" w:eastAsia="Google Sans" w:hAnsi="Google Sans"/>
          <w:b w:val="1"/>
          <w:bCs w:val="1"/>
          <w:color w:val="1f1f1f"/>
          <w:rtl w:val="0"/>
        </w:rPr>
        <w:t xml:space="preserve">OptiStock Pro 3.0</w:t>
      </w:r>
      <w:r w:rsidDel="00000000" w:rsidR="00000000" w:rsidRPr="00000000">
        <w:rPr>
          <w:rFonts w:ascii="Google Sans" w:cs="Google Sans" w:eastAsia="Google Sans" w:hAnsi="Google Sans"/>
          <w:color w:val="1f1f1f"/>
          <w:rtl w:val="0"/>
        </w:rPr>
        <w:t xml:space="preserve">, la investigación continuará ejecutando los objetivos específicos de las etapas posteriores mediante la siguiente hoja de ruta.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Etapa de Integración Computacional Analítica (Ecosistema Python)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simulador operará como un entorno generador de datos y banco de pruebas algorítmico.</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Acciones Científico-Técnicas:</w:t>
      </w:r>
      <w:r w:rsidDel="00000000" w:rsidR="00000000" w:rsidRPr="00000000">
        <w:rPr>
          <w:rFonts w:ascii="Google Sans" w:cs="Google Sans" w:eastAsia="Google Sans" w:hAnsi="Google Sans"/>
          <w:color w:val="1f1f1f"/>
          <w:rtl w:val="0"/>
        </w:rPr>
        <w:t xml:space="preserve"> Estructurar microservicios (mediante </w:t>
      </w:r>
      <w:r w:rsidDel="00000000" w:rsidR="00000000" w:rsidRPr="00000000">
        <w:rPr>
          <w:rFonts w:ascii="Google Sans" w:cs="Google Sans" w:eastAsia="Google Sans" w:hAnsi="Google Sans"/>
          <w:i w:val="1"/>
          <w:iCs w:val="1"/>
          <w:color w:val="1f1f1f"/>
          <w:rtl w:val="0"/>
        </w:rPr>
        <w:t xml:space="preserve">FastAPI</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Flask</w:t>
      </w:r>
      <w:r w:rsidDel="00000000" w:rsidR="00000000" w:rsidRPr="00000000">
        <w:rPr>
          <w:rFonts w:ascii="Google Sans" w:cs="Google Sans" w:eastAsia="Google Sans" w:hAnsi="Google Sans"/>
          <w:color w:val="1f1f1f"/>
          <w:rtl w:val="0"/>
        </w:rPr>
        <w:t xml:space="preserve">) que conecten el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de OptiStock Pro con un núcleo analítico en Python. Se implementarán </w:t>
      </w:r>
      <w:r w:rsidDel="00000000" w:rsidR="00000000" w:rsidRPr="00000000">
        <w:rPr>
          <w:rFonts w:ascii="Google Sans" w:cs="Google Sans" w:eastAsia="Google Sans" w:hAnsi="Google Sans"/>
          <w:i w:val="1"/>
          <w:iCs w:val="1"/>
          <w:color w:val="1f1f1f"/>
          <w:rtl w:val="0"/>
        </w:rPr>
        <w:t xml:space="preserve">Jupyter Notebooks</w:t>
      </w:r>
      <w:r w:rsidDel="00000000" w:rsidR="00000000" w:rsidRPr="00000000">
        <w:rPr>
          <w:rFonts w:ascii="Google Sans" w:cs="Google Sans" w:eastAsia="Google Sans" w:hAnsi="Google Sans"/>
          <w:color w:val="1f1f1f"/>
          <w:rtl w:val="0"/>
        </w:rPr>
        <w:t xml:space="preserve"> que consuman los </w:t>
      </w:r>
      <w:r w:rsidDel="00000000" w:rsidR="00000000" w:rsidRPr="00000000">
        <w:rPr>
          <w:rFonts w:ascii="Google Sans" w:cs="Google Sans" w:eastAsia="Google Sans" w:hAnsi="Google Sans"/>
          <w:i w:val="1"/>
          <w:iCs w:val="1"/>
          <w:color w:val="1f1f1f"/>
          <w:rtl w:val="0"/>
        </w:rPr>
        <w:t xml:space="preserve">layouts</w:t>
      </w:r>
      <w:r w:rsidDel="00000000" w:rsidR="00000000" w:rsidRPr="00000000">
        <w:rPr>
          <w:rFonts w:ascii="Google Sans" w:cs="Google Sans" w:eastAsia="Google Sans" w:hAnsi="Google Sans"/>
          <w:color w:val="1f1f1f"/>
          <w:rtl w:val="0"/>
        </w:rPr>
        <w:t xml:space="preserve"> generados por los estudiantes para resolver las ecuaciones MILP utilizando librerías como </w:t>
      </w:r>
      <w:r w:rsidDel="00000000" w:rsidR="00000000" w:rsidRPr="00000000">
        <w:rPr>
          <w:rFonts w:ascii="Google Sans" w:cs="Google Sans" w:eastAsia="Google Sans" w:hAnsi="Google Sans"/>
          <w:i w:val="1"/>
          <w:iCs w:val="1"/>
          <w:color w:val="1f1f1f"/>
          <w:rtl w:val="0"/>
        </w:rPr>
        <w:t xml:space="preserve">PuLP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Pyomo</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Gurobi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Aprendizaje por Refuerzo (RL):</w:t>
      </w:r>
      <w:r w:rsidDel="00000000" w:rsidR="00000000" w:rsidRPr="00000000">
        <w:rPr>
          <w:rFonts w:ascii="Google Sans" w:cs="Google Sans" w:eastAsia="Google Sans" w:hAnsi="Google Sans"/>
          <w:color w:val="1f1f1f"/>
          <w:rtl w:val="0"/>
        </w:rPr>
        <w:t xml:space="preserve"> Adaptar OptiStock Pro bajo el estándar de </w:t>
      </w:r>
      <w:r w:rsidDel="00000000" w:rsidR="00000000" w:rsidRPr="00000000">
        <w:rPr>
          <w:rFonts w:ascii="Google Sans" w:cs="Google Sans" w:eastAsia="Google Sans" w:hAnsi="Google Sans"/>
          <w:i w:val="1"/>
          <w:iCs w:val="1"/>
          <w:color w:val="1f1f1f"/>
          <w:rtl w:val="0"/>
        </w:rPr>
        <w:t xml:space="preserve">Farama Gymnasium</w:t>
      </w:r>
      <w:r w:rsidDel="00000000" w:rsidR="00000000" w:rsidRPr="00000000">
        <w:rPr>
          <w:rFonts w:ascii="Google Sans" w:cs="Google Sans" w:eastAsia="Google Sans" w:hAnsi="Google Sans"/>
          <w:color w:val="1f1f1f"/>
          <w:rtl w:val="0"/>
        </w:rPr>
        <w:t xml:space="preserve"> en Python. Esto habilitará el entrenamiento de redes neuronales (DQN, PPO) para que agentes artificiales descubran las políticas óptimas de ruteo dinámico, permitiendo a los estudiantes contrastar sus decisiones humanas contra modelos de Inteligencia Artificial.</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Etapa de Migración al Entorno Inmersivo 3D y VR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debe abordar las limitaciones perceptivas del modelo 2D.</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Acciones Científico-Técnicas:</w:t>
      </w:r>
      <w:r w:rsidDel="00000000" w:rsidR="00000000" w:rsidRPr="00000000">
        <w:rPr>
          <w:rFonts w:ascii="Google Sans" w:cs="Google Sans" w:eastAsia="Google Sans" w:hAnsi="Google Sans"/>
          <w:color w:val="1f1f1f"/>
          <w:rtl w:val="0"/>
        </w:rPr>
        <w:t xml:space="preserve"> Aprovechar el estado centralizado de OptiStock Pro 3.0 para inyectar la matriz de distribución en un motor de renderizado tridimensional (</w:t>
      </w:r>
      <w:r w:rsidDel="00000000" w:rsidR="00000000" w:rsidRPr="00000000">
        <w:rPr>
          <w:rFonts w:ascii="Google Sans" w:cs="Google Sans" w:eastAsia="Google Sans" w:hAnsi="Google Sans"/>
          <w:i w:val="1"/>
          <w:iCs w:val="1"/>
          <w:color w:val="1f1f1f"/>
          <w:rtl w:val="0"/>
        </w:rPr>
        <w:t xml:space="preserve">React Three Fiber</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Unity WebGL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 Analítico:</w:t>
      </w:r>
      <w:r w:rsidDel="00000000" w:rsidR="00000000" w:rsidRPr="00000000">
        <w:rPr>
          <w:rFonts w:ascii="Google Sans" w:cs="Google Sans" w:eastAsia="Google Sans" w:hAnsi="Google Sans"/>
          <w:color w:val="1f1f1f"/>
          <w:rtl w:val="0"/>
        </w:rPr>
        <w:t xml:space="preserve"> Cuantificar estadísticamente cómo las variables de volumen, restricción visual, tiempos de elevación de montacargas (eje Z) y fatiga ergonómica afectan la eficiencia de las decisiones logísticas tomadas por el estudiante en inmersión VR.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Etapa de Emulación de Sistemas de Gestión de Almacenes (WMS)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enseñanza técnica debe incluir el flujo de información, no solo el flujo físico.</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Acciones Científico-Técnicas:</w:t>
      </w:r>
      <w:r w:rsidDel="00000000" w:rsidR="00000000" w:rsidRPr="00000000">
        <w:rPr>
          <w:rFonts w:ascii="Google Sans" w:cs="Google Sans" w:eastAsia="Google Sans" w:hAnsi="Google Sans"/>
          <w:color w:val="1f1f1f"/>
          <w:rtl w:val="0"/>
        </w:rPr>
        <w:t xml:space="preserve"> Implementar módulos de software para gestionar atributos estocásticos de inventario, simular terminales de radiofrecuencia (RFID), y establecer lógicas de agrupamiento de pedidos (</w:t>
      </w:r>
      <w:r w:rsidDel="00000000" w:rsidR="00000000" w:rsidRPr="00000000">
        <w:rPr>
          <w:rFonts w:ascii="Google Sans" w:cs="Google Sans" w:eastAsia="Google Sans" w:hAnsi="Google Sans"/>
          <w:i w:val="1"/>
          <w:iCs w:val="1"/>
          <w:color w:val="1f1f1f"/>
          <w:rtl w:val="0"/>
        </w:rPr>
        <w:t xml:space="preserve">Batch/Wave Picking</w:t>
      </w:r>
      <w:r w:rsidDel="00000000" w:rsidR="00000000" w:rsidRPr="00000000">
        <w:rPr>
          <w:rFonts w:ascii="Google Sans" w:cs="Google Sans" w:eastAsia="Google Sans" w:hAnsi="Google Sans"/>
          <w:color w:val="1f1f1f"/>
          <w:rtl w:val="0"/>
        </w:rPr>
        <w:t xml:space="preserve">). Los investigadores podrán programar diferentes lógicas de asignación de </w:t>
      </w:r>
      <w:r w:rsidDel="00000000" w:rsidR="00000000" w:rsidRPr="00000000">
        <w:rPr>
          <w:rFonts w:ascii="Google Sans" w:cs="Google Sans" w:eastAsia="Google Sans" w:hAnsi="Google Sans"/>
          <w:i w:val="1"/>
          <w:iCs w:val="1"/>
          <w:color w:val="1f1f1f"/>
          <w:rtl w:val="0"/>
        </w:rPr>
        <w:t xml:space="preserve">slots</w:t>
      </w:r>
      <w:r w:rsidDel="00000000" w:rsidR="00000000" w:rsidRPr="00000000">
        <w:rPr>
          <w:rFonts w:ascii="Google Sans" w:cs="Google Sans" w:eastAsia="Google Sans" w:hAnsi="Google Sans"/>
          <w:color w:val="1f1f1f"/>
          <w:rtl w:val="0"/>
        </w:rPr>
        <w:t xml:space="preserve"> (Slotting) para medir su desempeño.</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Etapa de Expansión Lúdico-Operativa: Simulación Estocástica de Ingreso y Despacho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mejora prospectiva fundamental para incrementar el realismo y la rejugabilidad del sistema, se proyecta la implementación de dinámicas operativas basadas en la estocasticidad de la demanda. Esta etapa contempla el desarrollo de dos modos de juego principales que emulan las transacciones diarias de un Centro de Distribución:</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Modo de Ingreso de Mercancía (Put-Away):</w:t>
      </w:r>
      <w:r w:rsidDel="00000000" w:rsidR="00000000" w:rsidRPr="00000000">
        <w:rPr>
          <w:rFonts w:ascii="Google Sans" w:cs="Google Sans" w:eastAsia="Google Sans" w:hAnsi="Google Sans"/>
          <w:color w:val="1f1f1f"/>
          <w:rtl w:val="0"/>
        </w:rPr>
        <w:t xml:space="preserve"> El simulador generará de forma aleatoria un documento de recepción o manifiesto de entrada. El estudiante, asumiendo el rol de operador, deberá ingresar los productos al almacén y decidir la ubicación óptima de almacenamiento (</w:t>
      </w:r>
      <w:r w:rsidDel="00000000" w:rsidR="00000000" w:rsidRPr="00000000">
        <w:rPr>
          <w:rFonts w:ascii="Google Sans" w:cs="Google Sans" w:eastAsia="Google Sans" w:hAnsi="Google Sans"/>
          <w:i w:val="1"/>
          <w:iCs w:val="1"/>
          <w:color w:val="1f1f1f"/>
          <w:rtl w:val="0"/>
        </w:rPr>
        <w:t xml:space="preserve">slotting</w:t>
      </w:r>
      <w:r w:rsidDel="00000000" w:rsidR="00000000" w:rsidRPr="00000000">
        <w:rPr>
          <w:rFonts w:ascii="Google Sans" w:cs="Google Sans" w:eastAsia="Google Sans" w:hAnsi="Google Sans"/>
          <w:color w:val="1f1f1f"/>
          <w:rtl w:val="0"/>
        </w:rPr>
        <w:t xml:space="preserve">). Esta decisión será evaluada algorítmicamente en función de políticas de rotación de inventarios predefinidas (por ejemplo, clasificación ABC), penalizando las ubicaciones ineficientes que incrementen el costo de manipulación futuro y evaluando la utilización del volumen del almacén.</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Modo de Despacho (Picking / Outbound):</w:t>
      </w:r>
      <w:r w:rsidDel="00000000" w:rsidR="00000000" w:rsidRPr="00000000">
        <w:rPr>
          <w:rFonts w:ascii="Google Sans" w:cs="Google Sans" w:eastAsia="Google Sans" w:hAnsi="Google Sans"/>
          <w:color w:val="1f1f1f"/>
          <w:rtl w:val="0"/>
        </w:rPr>
        <w:t xml:space="preserve"> Mediante la generación estocástica de órdenes de pedido o listas de empaque (</w:t>
      </w:r>
      <w:r w:rsidDel="00000000" w:rsidR="00000000" w:rsidRPr="00000000">
        <w:rPr>
          <w:rFonts w:ascii="Google Sans" w:cs="Google Sans" w:eastAsia="Google Sans" w:hAnsi="Google Sans"/>
          <w:i w:val="1"/>
          <w:iCs w:val="1"/>
          <w:color w:val="1f1f1f"/>
          <w:rtl w:val="0"/>
        </w:rPr>
        <w:t xml:space="preserve">Picking Lists</w:t>
      </w:r>
      <w:r w:rsidDel="00000000" w:rsidR="00000000" w:rsidRPr="00000000">
        <w:rPr>
          <w:rFonts w:ascii="Google Sans" w:cs="Google Sans" w:eastAsia="Google Sans" w:hAnsi="Google Sans"/>
          <w:color w:val="1f1f1f"/>
          <w:rtl w:val="0"/>
        </w:rPr>
        <w:t xml:space="preserve">), el usuario deberá recorrer el </w:t>
      </w:r>
      <w:r w:rsidDel="00000000" w:rsidR="00000000" w:rsidRPr="00000000">
        <w:rPr>
          <w:rFonts w:ascii="Google Sans" w:cs="Google Sans" w:eastAsia="Google Sans" w:hAnsi="Google Sans"/>
          <w:i w:val="1"/>
          <w:iCs w:val="1"/>
          <w:color w:val="1f1f1f"/>
          <w:rtl w:val="0"/>
        </w:rPr>
        <w:t xml:space="preserve">layout</w:t>
      </w:r>
      <w:r w:rsidDel="00000000" w:rsidR="00000000" w:rsidRPr="00000000">
        <w:rPr>
          <w:rFonts w:ascii="Google Sans" w:cs="Google Sans" w:eastAsia="Google Sans" w:hAnsi="Google Sans"/>
          <w:color w:val="1f1f1f"/>
          <w:rtl w:val="0"/>
        </w:rPr>
        <w:t xml:space="preserve"> previamente diseñado para recolectar las unidades solicitadas. El rendimiento del estudiante será contrastado en tiempo real contra la ruta matemática óptima calculada en el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(resolviendo variaciones del Problema del Agente Viajero, TSP, mediante ecosistemas de Python).</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 Pedagógico e Investigativo:</w:t>
      </w:r>
      <w:r w:rsidDel="00000000" w:rsidR="00000000" w:rsidRPr="00000000">
        <w:rPr>
          <w:rFonts w:ascii="Google Sans" w:cs="Google Sans" w:eastAsia="Google Sans" w:hAnsi="Google Sans"/>
          <w:color w:val="1f1f1f"/>
          <w:rtl w:val="0"/>
        </w:rPr>
        <w:t xml:space="preserve"> La introducción de peticiones documentales aleatorias someterá al estudiante a escenarios de variabilidad logística, simulando la carga cognitiva real. Desde la perspectiva investigativa, la data generada permitirá analizar la resiliencia de los diseños de </w:t>
      </w:r>
      <w:r w:rsidDel="00000000" w:rsidR="00000000" w:rsidRPr="00000000">
        <w:rPr>
          <w:rFonts w:ascii="Google Sans" w:cs="Google Sans" w:eastAsia="Google Sans" w:hAnsi="Google Sans"/>
          <w:i w:val="1"/>
          <w:iCs w:val="1"/>
          <w:color w:val="1f1f1f"/>
          <w:rtl w:val="0"/>
        </w:rPr>
        <w:t xml:space="preserve">layout</w:t>
      </w:r>
      <w:r w:rsidDel="00000000" w:rsidR="00000000" w:rsidRPr="00000000">
        <w:rPr>
          <w:rFonts w:ascii="Google Sans" w:cs="Google Sans" w:eastAsia="Google Sans" w:hAnsi="Google Sans"/>
          <w:color w:val="1f1f1f"/>
          <w:rtl w:val="0"/>
        </w:rPr>
        <w:t xml:space="preserve"> propuestos por los estudiantes frente a fluctuaciones agresivas en la demanda, proporcionando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valiosos para estudios de optimización dinámica.</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Etapa de Arquitectura de Gemelo Digital y Validación Empírica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alcanzará su madurez institucional como infraestructura cyber-física.</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Acciones Científico-Técnicas:</w:t>
      </w:r>
      <w:r w:rsidDel="00000000" w:rsidR="00000000" w:rsidRPr="00000000">
        <w:rPr>
          <w:rFonts w:ascii="Google Sans" w:cs="Google Sans" w:eastAsia="Google Sans" w:hAnsi="Google Sans"/>
          <w:color w:val="1f1f1f"/>
          <w:rtl w:val="0"/>
        </w:rPr>
        <w:t xml:space="preserve"> Vincular las tablas de simulación del entorno Python/Pro 3.0 con repositorios de datos masivos (Big Data) provenientes de la industria del departamento de Córdoba. Mediante algoritmos de Minería de Procesos (</w:t>
      </w:r>
      <w:r w:rsidDel="00000000" w:rsidR="00000000" w:rsidRPr="00000000">
        <w:rPr>
          <w:rFonts w:ascii="Google Sans" w:cs="Google Sans" w:eastAsia="Google Sans" w:hAnsi="Google Sans"/>
          <w:i w:val="1"/>
          <w:iCs w:val="1"/>
          <w:color w:val="1f1f1f"/>
          <w:rtl w:val="0"/>
        </w:rPr>
        <w:t xml:space="preserve">Process Mining</w:t>
      </w:r>
      <w:r w:rsidDel="00000000" w:rsidR="00000000" w:rsidRPr="00000000">
        <w:rPr>
          <w:rFonts w:ascii="Google Sans" w:cs="Google Sans" w:eastAsia="Google Sans" w:hAnsi="Google Sans"/>
          <w:color w:val="1f1f1f"/>
          <w:rtl w:val="0"/>
        </w:rPr>
        <w:t xml:space="preserve">), se recrearán escenarios reales en el simulador.</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Diseño Experimental:</w:t>
      </w:r>
      <w:r w:rsidDel="00000000" w:rsidR="00000000" w:rsidRPr="00000000">
        <w:rPr>
          <w:rFonts w:ascii="Google Sans" w:cs="Google Sans" w:eastAsia="Google Sans" w:hAnsi="Google Sans"/>
          <w:color w:val="1f1f1f"/>
          <w:rtl w:val="0"/>
        </w:rPr>
        <w:t xml:space="preserve"> Realizar estudios estadísticos formales (pruebas de hipótesis, ANOVA) en aulas de clase de la Universidad Pontificia Bolivariana para comprobar empíricamente que el índice de competencias prácticas y toma de decisiones incrementa de manera significativa tras la intervención con el ecosistema OptiStock avanzado.</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Conclusión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"OptiStock" se ha transformado desde una propuesta didáctica interactiva en un ambicioso protocolo de investigación aplicada en Ingeniería Industrial. La consolidación de la arquitectura </w:t>
      </w:r>
      <w:r w:rsidDel="00000000" w:rsidR="00000000" w:rsidRPr="00000000">
        <w:rPr>
          <w:rFonts w:ascii="Google Sans" w:cs="Google Sans" w:eastAsia="Google Sans" w:hAnsi="Google Sans"/>
          <w:b w:val="1"/>
          <w:bCs w:val="1"/>
          <w:color w:val="1f1f1f"/>
          <w:rtl w:val="0"/>
        </w:rPr>
        <w:t xml:space="preserve">OptiStock Pro 3.0</w:t>
      </w:r>
      <w:r w:rsidDel="00000000" w:rsidR="00000000" w:rsidRPr="00000000">
        <w:rPr>
          <w:rFonts w:ascii="Google Sans" w:cs="Google Sans" w:eastAsia="Google Sans" w:hAnsi="Google Sans"/>
          <w:color w:val="1f1f1f"/>
          <w:rtl w:val="0"/>
        </w:rPr>
        <w:t xml:space="preserve"> representa el punto de inflexión metodológico necesario para soportar la enorme complejidad computacional de las fases analíticas futuras. A través de la clara delimitación de sus objetivos específicos, la expansión de su fundamento epistemológico-teórico, y la hoja de ruta hacia la integración con Python, entornos tridimensionales y simulaciones estocásticas basadas en documentación operativa (ingreso/despacho), la investigación garantiza su pertinencia científica y su alineación directa con la vanguardia de la manufactura inteligente y la Logística 4.0.</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Referencias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Chopra, S., &amp; Meindl, P. (2019). </w:t>
      </w:r>
      <w:r w:rsidDel="00000000" w:rsidR="00000000" w:rsidRPr="00000000">
        <w:rPr>
          <w:rFonts w:ascii="Google Sans" w:cs="Google Sans" w:eastAsia="Google Sans" w:hAnsi="Google Sans"/>
          <w:i w:val="1"/>
          <w:iCs w:val="1"/>
          <w:color w:val="1f1f1f"/>
          <w:rtl w:val="0"/>
        </w:rPr>
        <w:t xml:space="preserve">Supply chain management: Strategy, planning, and operation</w:t>
      </w:r>
      <w:r w:rsidDel="00000000" w:rsidR="00000000" w:rsidRPr="00000000">
        <w:rPr>
          <w:rFonts w:ascii="Google Sans" w:cs="Google Sans" w:eastAsia="Google Sans" w:hAnsi="Google Sans"/>
          <w:color w:val="1f1f1f"/>
          <w:rtl w:val="0"/>
        </w:rPr>
        <w:t xml:space="preserve"> (7th ed.). Pearson Education.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Deterding, S., Dixon, D., Khaled, R., &amp; Nacke, L. (2011). From game design elements to gamefulness. </w:t>
      </w:r>
      <w:r w:rsidDel="00000000" w:rsidR="00000000" w:rsidRPr="00000000">
        <w:rPr>
          <w:rFonts w:ascii="Google Sans" w:cs="Google Sans" w:eastAsia="Google Sans" w:hAnsi="Google Sans"/>
          <w:i w:val="1"/>
          <w:iCs w:val="1"/>
          <w:color w:val="1f1f1f"/>
          <w:rtl w:val="0"/>
        </w:rPr>
        <w:t xml:space="preserve">Proceedings of the 15th International Academic MindTrek Conference</w:t>
      </w:r>
      <w:r w:rsidDel="00000000" w:rsidR="00000000" w:rsidRPr="00000000">
        <w:rPr>
          <w:rFonts w:ascii="Google Sans" w:cs="Google Sans" w:eastAsia="Google Sans" w:hAnsi="Google Sans"/>
          <w:color w:val="1f1f1f"/>
          <w:rtl w:val="0"/>
        </w:rPr>
        <w:t xml:space="preserve">, 9–15.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Kapp, K. M. (2012). </w:t>
      </w:r>
      <w:r w:rsidDel="00000000" w:rsidR="00000000" w:rsidRPr="00000000">
        <w:rPr>
          <w:rFonts w:ascii="Google Sans" w:cs="Google Sans" w:eastAsia="Google Sans" w:hAnsi="Google Sans"/>
          <w:i w:val="1"/>
          <w:iCs w:val="1"/>
          <w:color w:val="1f1f1f"/>
          <w:rtl w:val="0"/>
        </w:rPr>
        <w:t xml:space="preserve">The gamification of learning and instruction: Game-based methods and strategies for training and education</w:t>
      </w:r>
      <w:r w:rsidDel="00000000" w:rsidR="00000000" w:rsidRPr="00000000">
        <w:rPr>
          <w:rFonts w:ascii="Google Sans" w:cs="Google Sans" w:eastAsia="Google Sans" w:hAnsi="Google Sans"/>
          <w:color w:val="1f1f1f"/>
          <w:rtl w:val="0"/>
        </w:rPr>
        <w:t xml:space="preserve">. Pfeiffer.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Kolb, D. A. (1984). </w:t>
      </w:r>
      <w:r w:rsidDel="00000000" w:rsidR="00000000" w:rsidRPr="00000000">
        <w:rPr>
          <w:rFonts w:ascii="Google Sans" w:cs="Google Sans" w:eastAsia="Google Sans" w:hAnsi="Google Sans"/>
          <w:i w:val="1"/>
          <w:iCs w:val="1"/>
          <w:color w:val="1f1f1f"/>
          <w:rtl w:val="0"/>
        </w:rPr>
        <w:t xml:space="preserve">Experiential learning: Experience as the source of learning and development</w:t>
      </w:r>
      <w:r w:rsidDel="00000000" w:rsidR="00000000" w:rsidRPr="00000000">
        <w:rPr>
          <w:rFonts w:ascii="Google Sans" w:cs="Google Sans" w:eastAsia="Google Sans" w:hAnsi="Google Sans"/>
          <w:color w:val="1f1f1f"/>
          <w:rtl w:val="0"/>
        </w:rPr>
        <w:t xml:space="preserve">. Prentice Hall.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Piaget, J. (1970). </w:t>
      </w:r>
      <w:r w:rsidDel="00000000" w:rsidR="00000000" w:rsidRPr="00000000">
        <w:rPr>
          <w:rFonts w:ascii="Google Sans" w:cs="Google Sans" w:eastAsia="Google Sans" w:hAnsi="Google Sans"/>
          <w:i w:val="1"/>
          <w:iCs w:val="1"/>
          <w:color w:val="1f1f1f"/>
          <w:rtl w:val="0"/>
        </w:rPr>
        <w:t xml:space="preserve">Psychology and pedagogy</w:t>
      </w:r>
      <w:r w:rsidDel="00000000" w:rsidR="00000000" w:rsidRPr="00000000">
        <w:rPr>
          <w:rFonts w:ascii="Google Sans" w:cs="Google Sans" w:eastAsia="Google Sans" w:hAnsi="Google Sans"/>
          <w:color w:val="1f1f1f"/>
          <w:rtl w:val="0"/>
        </w:rPr>
        <w:t xml:space="preserve">. Viking Press.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Radianti, J., et al. (2020). A systematic review of immersive virtual reality applications for higher education. </w:t>
      </w:r>
      <w:r w:rsidDel="00000000" w:rsidR="00000000" w:rsidRPr="00000000">
        <w:rPr>
          <w:rFonts w:ascii="Google Sans" w:cs="Google Sans" w:eastAsia="Google Sans" w:hAnsi="Google Sans"/>
          <w:i w:val="1"/>
          <w:iCs w:val="1"/>
          <w:color w:val="1f1f1f"/>
          <w:rtl w:val="0"/>
        </w:rPr>
        <w:t xml:space="preserve">Computers &amp; Education, 147</w:t>
      </w:r>
      <w:r w:rsidDel="00000000" w:rsidR="00000000" w:rsidRPr="00000000">
        <w:rPr>
          <w:rFonts w:ascii="Google Sans" w:cs="Google Sans" w:eastAsia="Google Sans" w:hAnsi="Google Sans"/>
          <w:color w:val="1f1f1f"/>
          <w:rtl w:val="0"/>
        </w:rPr>
        <w:t xml:space="preserve">, 103778.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Santos, L., Flores, A., &amp; Lima, R. (2019). Integrating Industry 4.0 in engineering education. </w:t>
      </w:r>
      <w:r w:rsidDel="00000000" w:rsidR="00000000" w:rsidRPr="00000000">
        <w:rPr>
          <w:rFonts w:ascii="Google Sans" w:cs="Google Sans" w:eastAsia="Google Sans" w:hAnsi="Google Sans"/>
          <w:i w:val="1"/>
          <w:iCs w:val="1"/>
          <w:color w:val="1f1f1f"/>
          <w:rtl w:val="0"/>
        </w:rPr>
        <w:t xml:space="preserve">European Journal of Engineering Education, 44</w:t>
      </w:r>
      <w:r w:rsidDel="00000000" w:rsidR="00000000" w:rsidRPr="00000000">
        <w:rPr>
          <w:rFonts w:ascii="Google Sans" w:cs="Google Sans" w:eastAsia="Google Sans" w:hAnsi="Google Sans"/>
          <w:color w:val="1f1f1f"/>
          <w:rtl w:val="0"/>
        </w:rPr>
        <w:t xml:space="preserve">(6), 845–857.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Tompkins, J. A., et al. (2010). </w:t>
      </w:r>
      <w:r w:rsidDel="00000000" w:rsidR="00000000" w:rsidRPr="00000000">
        <w:rPr>
          <w:rFonts w:ascii="Google Sans" w:cs="Google Sans" w:eastAsia="Google Sans" w:hAnsi="Google Sans"/>
          <w:i w:val="1"/>
          <w:iCs w:val="1"/>
          <w:color w:val="1f1f1f"/>
          <w:rtl w:val="0"/>
        </w:rPr>
        <w:t xml:space="preserve">Facilities planning</w:t>
      </w:r>
      <w:r w:rsidDel="00000000" w:rsidR="00000000" w:rsidRPr="00000000">
        <w:rPr>
          <w:rFonts w:ascii="Google Sans" w:cs="Google Sans" w:eastAsia="Google Sans" w:hAnsi="Google Sans"/>
          <w:color w:val="1f1f1f"/>
          <w:rtl w:val="0"/>
        </w:rPr>
        <w:t xml:space="preserve"> (4th ed.). John Wiley &amp; Sons.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Vygotsky, L. S. (1978). </w:t>
      </w:r>
      <w:r w:rsidDel="00000000" w:rsidR="00000000" w:rsidRPr="00000000">
        <w:rPr>
          <w:rFonts w:ascii="Google Sans" w:cs="Google Sans" w:eastAsia="Google Sans" w:hAnsi="Google Sans"/>
          <w:i w:val="1"/>
          <w:iCs w:val="1"/>
          <w:color w:val="1f1f1f"/>
          <w:rtl w:val="0"/>
        </w:rPr>
        <w:t xml:space="preserve">Mind in society: The development of higher psychological processes</w:t>
      </w:r>
      <w:r w:rsidDel="00000000" w:rsidR="00000000" w:rsidRPr="00000000">
        <w:rPr>
          <w:rFonts w:ascii="Google Sans" w:cs="Google Sans" w:eastAsia="Google Sans" w:hAnsi="Google Sans"/>
          <w:color w:val="1f1f1f"/>
          <w:rtl w:val="0"/>
        </w:rPr>
        <w:t xml:space="preserve">. Harvard University Press.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8.png"/><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