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Montserrat" w:cs="Montserrat" w:eastAsia="Montserrat" w:hAnsi="Montserrat"/>
          <w:b/>
          <w:bCs/>
          <w:color w:val="45C4B0"/>
          <w:sz w:val="72"/>
          <w:szCs w:val="72"/>
        </w:rPr>
        <w:t xml:space="preserve">CU-AQUA-08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1A335C"/>
          <w:sz w:val="44"/>
          <w:szCs w:val="44"/>
        </w:rPr>
        <w:t xml:space="preserve">Aplicación de Insumo Sanitario</w:t>
      </w:r>
    </w:p>
    <w:p>
      <w:pPr>
        <w:spacing w:after="40" w:before="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Caso de Uso para Trazabilidad Veterinaria y Compliance ICA</w:t>
      </w:r>
    </w:p>
    <w:p>
      <w:pPr>
        <w:spacing w:after="480" w:before="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Versión 1.0  ·  2026-05-03  ·  Estado: </w:t>
      </w:r>
      <w:r>
        <w:rPr>
          <w:rFonts w:ascii="Montserrat" w:cs="Montserrat" w:eastAsia="Montserrat" w:hAnsi="Montserrat"/>
          <w:b/>
          <w:bCs/>
          <w:color w:val="45C4B0"/>
          <w:sz w:val="20"/>
          <w:szCs w:val="20"/>
        </w:rPr>
        <w:t xml:space="preserve">APROBADO</w:t>
      </w:r>
    </w:p>
    <w:p>
      <w:r>
        <w:br w:type="pag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1. Descripción Ejecutiva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Este caso de uso permite al Coordinador o Gerente registrar la aplicación de un insumo sanitario (medicamento veterinario, sal, cal, probiótico, desinfectante o fertilizante) sobre un lote de cultivo específico. El registro alimenta el módulo de trazabilidad regulatoria definido en el TDD-007 Parte B, y activa el bloqueo automático de cosecha durante el período de retiro del producto.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Este flujo es de cumplimiento obligatorio bajo la Resolución ICA 000373 de 2025 y el Decreto 1185 de 2020 para toda UPA acuícola registrada en Colombia. Su omisión expone al productor a sanciones regulatorias y al rechazo del lote en cadenas de comercialización formal (Frigopesca, Surtimax, exportación).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2. Actores y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Permiso CRUD</w:t>
            </w:r>
          </w:p>
        </w:tc>
        <w:tc>
          <w:tcPr>
            <w:tcW w:type="dxa" w:w="4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Alcance del Rol</w:t>
            </w:r>
          </w:p>
        </w:tc>
      </w:tr>
      <w:tr>
        <w:tc>
          <w:tcPr>
            <w:tcW w:type="dxa" w:w="22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Operario</w:t>
            </w:r>
          </w:p>
        </w:tc>
        <w:tc>
          <w:tcPr>
            <w:tcW w:type="dxa" w:w="22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NEGADO</w:t>
            </w:r>
          </w:p>
        </w:tc>
        <w:tc>
          <w:tcPr>
            <w:tcW w:type="dxa" w:w="4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Por seguridad farmacológica, no aplica insumos. Solo puede consultar el estado de retiro del lote en el dashboard.</w:t>
            </w:r>
          </w:p>
        </w:tc>
      </w:tr>
      <w:tr>
        <w:tc>
          <w:tcPr>
            <w:tcW w:type="dxa" w:w="22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Coordinador</w:t>
            </w:r>
          </w:p>
        </w:tc>
        <w:tc>
          <w:tcPr>
            <w:tcW w:type="dxa" w:w="22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CREATE, READ</w:t>
            </w:r>
          </w:p>
        </w:tc>
        <w:tc>
          <w:tcPr>
            <w:tcW w:type="dxa" w:w="4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Registra aplicaciones bajo prescripción del Asesor o Gerente.</w:t>
            </w:r>
          </w:p>
        </w:tc>
      </w:tr>
      <w:tr>
        <w:tc>
          <w:tcPr>
            <w:tcW w:type="dxa" w:w="22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Gerente</w:t>
            </w:r>
          </w:p>
        </w:tc>
        <w:tc>
          <w:tcPr>
            <w:tcW w:type="dxa" w:w="22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CREATE, READ, UPDATE</w:t>
            </w:r>
          </w:p>
        </w:tc>
        <w:tc>
          <w:tcPr>
            <w:tcW w:type="dxa" w:w="4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Puede corregir aplicaciones erróneas (con audit trail) en las primeras 24 horas.</w:t>
            </w:r>
          </w:p>
        </w:tc>
      </w:tr>
      <w:tr>
        <w:tc>
          <w:tcPr>
            <w:tcW w:type="dxa" w:w="22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Asesor Técnico</w:t>
            </w:r>
          </w:p>
        </w:tc>
        <w:tc>
          <w:tcPr>
            <w:tcW w:type="dxa" w:w="22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READ</w:t>
            </w:r>
          </w:p>
        </w:tc>
        <w:tc>
          <w:tcPr>
            <w:tcW w:type="dxa" w:w="4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Consulta histórico de aplicaciones para diagnóstico y recomendaciones.</w:t>
            </w:r>
          </w:p>
        </w:tc>
      </w:tr>
      <w:tr>
        <w:tc>
          <w:tcPr>
            <w:tcW w:type="dxa" w:w="22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2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READ</w:t>
            </w:r>
          </w:p>
        </w:tc>
        <w:tc>
          <w:tcPr>
            <w:tcW w:type="dxa" w:w="4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Acceso global para auditoría regulatoria.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3. Precondiciones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El usuario está autenticado y su Access Token JWT está vigente (TDD-007 Parte 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El catálogo insumo_sanitario contiene al menos un registro disponible para el 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El lote de cultivo destino está en estado "Activo" (no cosechado, no descartado).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El Snapshot local incluye la lista de insumos disponibles del catálogo del tenant.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4. Flujo Principal (Happy Path)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Paso 1. El Coordinador selecciona un lote de cultivo activo desde el dashboard de su finca.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Paso 2. En el menú de acciones del lote, selecciona "Registrar Aplicación de Insumo".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Paso 3. La UI presenta el catálogo de insumos disponibles, agrupados por tipo (Medicamento, Sal, Cal, Probiótico, etc.) con buscador por nombre comercial o principio activo.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Paso 4. El Coordinador selecciona el insumo. La UI muestra ficha técnica resumida: principio activo, registro ICA, período de retiro, dosis recomendada.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Paso 5. El sistema solicita los siguientes datos obligatorios: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Cantidad aplicada (numérico, en la unidad de medida del insumo)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Dosis descrita (texto libre, ej. "10 mg/kg peso vivo, durante 5 días")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Motivo de aplicación (selección de catálogo: Profilaxis, Tratamiento curativo, Acondicionamiento de agua, Estimulación inmunológica, Otro)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Notas adicionales (opcional, texto libre)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Paso 6. El sistema calcula automáticamente la fecha de fin de retiro: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fecha_fin_retiro = timestamp_evento + periodo_retiro_dias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Paso 7. La UI muestra una pantalla de confirmación con el resumen y la advertencia destacada: "⛔ La cosecha de este lote quedará bloqueada hasta el [fecha_fin_retiro]."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Paso 8. El Coordinador confirma. El registro se persiste localmente en SQLite con sync_status = pending.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Paso 9. El sistema notifica visualmente al regresar al dashboard del lote: badge rojo con "RETIRO ACTIVO" y conteo regresivo de días.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Paso 10. Cuando hay conectividad, el registro se sincroniza con el servidor (CU-AQUA-06) y la información queda disponible para auditoría regulatoria.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5. Flujos Alternativos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FA1 — Insumo No Existe en el Catálogo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Si el Coordinador no encuentra el insumo aplicado, debe registrar la solicitud al Gerente del tenant para crear el insumo en el catálogo. El CU-AQUA-08 NO permite crear insumos sobre la marcha por riesgo de contaminación del catálogo con datos sin trazabilidad ICA.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FA2 — Aplicación Programada Multi-día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Cuando un tratamiento requiere aplicaciones diarias por varios días (ej. Florfenicol durante 5 días), el Coordinador debe registrar cada aplicación individualmente. La fecha de fin de retiro se recalcula tomando la última aplicación como referencia: fecha_fin_retiro = última_aplicación + periodo_retiro_dias.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FA3 — Aplicación Correctiva (Solo Gerente)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Si una aplicación fue registrada con error en cantidad o motivo, el Gerente puede editarla durante las 24 horas posteriores al registro. Toda edición queda en log_auditoria con campos: id_aplicacion, valor_anterior_json, valor_nuevo_json, motivo_correccion (obligatorio), id_usuario_corrige, timestamp_correccion.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6. Excepciones y Errores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E1 — Cantidad Aplicada Cero o Negativa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El sistema bloquea con mensaje: "La cantidad aplicada debe ser un valor positivo mayor a cero."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E2 — Catálogo Vacío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Si insumo_sanitario está vacío para el tenant, la UI muestra: "No hay insumos registrados en el catálogo. Solicite al Gerente que configure los productos disponibles antes de registrar aplicaciones."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E3 — Aplicación sobre Lote Cosechado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Si el lote cambió a estado "Cosechado" mientras el operario tenía la pantalla abierta, el sistema rechaza la transacción al confirmar: "Este lote ya no está activo. No se pueden registrar aplicaciones."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E4 — Insumo Sin Registro ICA en Producción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Para tenants en modo "Compliance Estricto" (configuración del Super Admin), el sistema bloquea aplicaciones de insumos sin registro_ica válido y muestra: "Este insumo no tiene registro ICA. Su uso podría comprometer la certificación de la granja."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7. Reglas de Negocio Duras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334155"/>
          <w:sz w:val="22"/>
          <w:szCs w:val="22"/>
        </w:rPr>
        <w:t xml:space="preserve">La cantidad aplicada NUNCA puede ser cero ni negativa.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334155"/>
          <w:sz w:val="22"/>
          <w:szCs w:val="22"/>
        </w:rPr>
        <w:t xml:space="preserve">El motivo_aplicacion es OBLIGATORIO y no puede dejarse vacío.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334155"/>
          <w:sz w:val="22"/>
          <w:szCs w:val="22"/>
        </w:rPr>
        <w:t xml:space="preserve">La fecha de aplicación debe ser ≤ timestamp actual del dispositivo. No se permite registrar aplicaciones futuras.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334155"/>
          <w:sz w:val="22"/>
          <w:szCs w:val="22"/>
        </w:rPr>
        <w:t xml:space="preserve">El sistema NUNCA permite cosechar un lote con período de retiro activo. El bloqueo es duro y no admite override por parte del Operario o Coordinador. Solo el Super Admin puede desbloquear con justificación documentada.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334155"/>
          <w:sz w:val="22"/>
          <w:szCs w:val="22"/>
        </w:rPr>
        <w:t xml:space="preserve">Al sincronizar, si el servidor detecta que el insumo fue marcado como "Retirado del mercado" después del registro, mantiene el registro pero alerta al Gerente.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8. Modelo de Datos Referenciado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Este CU opera sobre las tablas insumo_sanitario y registro_aplicacion_insumo definidas en TDD-007. Los campos críticos para la transacción son: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-- Lectura: catálogo de insumos disponibles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SELECT id_insumo, nombre_producto, principio_activo,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 registro_ica, tipo_insumo, unidad_medida, periodo_retiro_dias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FROM insumo_sanitario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WHERE id_tenant = ? AND activo = TRUE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ORDER BY tipo_insumo, nombre_producto;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-- Escritura: nueva aplicación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INSERT INTO registro_aplicacion_insumo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(id_aplicacion, id_lote, id_insumo, id_usuario, id_tenant,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timestamp_evento, cantidad_aplicada, dosis_descrita,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motivo_aplicacion, fecha_fin_retiro, sync_status)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VALUES (?, ?, ?, ?, ?, ?, ?, ?, ?, ?, 'pending')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ON CONFLICT (id_aplicacion) DO NOTHING;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9. Criterios de Aceptación (QA)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Prueba 1 — Bloqueo de Cosecha por Período de Retiro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Registrar aplicación de Florfenicol (período de retiro: 12 días) en Lote 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Intentar marcar el Lote X como "Cosechado" al día 5 desde el botón del Gerente.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Resultado esperado: el sistema bloquea con mensaje de retiro activo y muestra fecha permitida.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Prueba 2 — Sincronización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Registrar 3 aplicaciones diferentes en modo offline (avión activado).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Reactivar conexión y disparar CU-AQUA-06.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Verificar en BD del servidor: 3 registros con sync_status = synced y mismas UUIDs.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Prueba 3 — Permiso Denegado al Operario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Iniciar sesión como Operario.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Verificar que la opción "Registrar Aplicación de Insumo" no aparece en el menú del lote.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Intentar acceso directo vía deep link: el sistema redirige al dashboard con mensaje de permiso insuficiente.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Prueba 4 — Auditoría de Edición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Como Gerente, editar una aplicación recién creada cambiando el motivo.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Consultar log_auditoria: debe existir un registro con valor_anterior_json y valor_nuevo_json correctamente serializados.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⚖ COMPLIANCE</w:t>
            </w:r>
          </w:p>
        </w:tc>
        <w:tc>
          <w:tcPr>
            <w:tcW w:type="dxa" w:w="792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Este caso de uso es la base regulatoria que diferencia a Aquashell de cualquier competidor existente en el mercado colombiano. Su correcta implementación habilita la certificación BPA acuícola y la integración futura con cadenas de exportación que exigen trazabilidad veterinaria documentada.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35C" w:sz="4" w:space="1"/>
      </w:pBdr>
    </w:pPr>
    <w:r>
      <w:rPr>
        <w:rFonts w:ascii="Inter" w:cs="Inter" w:eastAsia="Inter" w:hAnsi="Inter"/>
        <w:color w:val="334155"/>
        <w:sz w:val="16"/>
        <w:szCs w:val="16"/>
      </w:rPr>
      <w:t xml:space="preserve">Aquashell — Documento de Arquitectura Técnica  ·  Confidencial  ·  Pág. </w:t>
    </w:r>
    <w:r>
      <w:rPr>
        <w:rFonts w:ascii="Inter" w:cs="Inter" w:eastAsia="Inter" w:hAnsi="Inter"/>
        <w:color w:val="1A33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5C4B0" w:sz="6" w:space="1"/>
      </w:pBdr>
      <w:tabs>
        <w:tab w:val="right" w:pos="9026"/>
      </w:tabs>
    </w:pPr>
    <w:r>
      <w:rPr>
        <w:rFonts w:ascii="Montserrat" w:cs="Montserrat" w:eastAsia="Montserrat" w:hAnsi="Montserrat"/>
        <w:b/>
        <w:bCs/>
        <w:color w:val="45C4B0"/>
        <w:sz w:val="18"/>
        <w:szCs w:val="18"/>
      </w:rPr>
      <w:t xml:space="preserve">AQUASHELL  ·  </w:t>
    </w:r>
    <w:r>
      <w:rPr>
        <w:rFonts w:ascii="Montserrat" w:cs="Montserrat" w:eastAsia="Montserrat" w:hAnsi="Montserrat"/>
        <w:b/>
        <w:bCs/>
        <w:color w:val="1A335C"/>
        <w:sz w:val="18"/>
        <w:szCs w:val="18"/>
      </w:rPr>
      <w:t xml:space="preserve">Aplicación de Insumo Sanitario</w:t>
    </w:r>
    <w:r>
      <w:rPr>
        <w:rFonts w:ascii="Inter" w:cs="Inter" w:eastAsia="Inter" w:hAnsi="Inter"/>
        <w:color w:val="C29B57"/>
        <w:sz w:val="16"/>
        <w:szCs w:val="16"/>
      </w:rPr>
      <w:t xml:space="preserve">	CU-AQUA-08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ontserrat" w:cs="Montserrat" w:eastAsia="Montserrat" w:hAnsi="Montserrat"/>
      <w:b/>
      <w:bCs/>
      <w:color w:val="1A33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ontserrat" w:cs="Montserrat" w:eastAsia="Montserrat" w:hAnsi="Montserrat"/>
      <w:b/>
      <w:bCs/>
      <w:color w:val="1A33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ontserrat" w:cs="Montserrat" w:eastAsia="Montserrat" w:hAnsi="Montserrat"/>
      <w:b/>
      <w:bCs/>
      <w:color w:val="C29B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2026-05-03T20:16:22.331Z</dcterms:created>
  <dcterms:modified xsi:type="dcterms:W3CDTF">2026-05-03T20:16:22.347Z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