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análisis del activo gráfico suministrado permite extraer las directrices fundamentales para la construcción de la identidad visual corporativa. A continuación, se presenta la decodificación técnica de la paleta colorimétrica, la morfología y el simbolismo del isotipo, estructurados bajo un rigor analítico para su futura aplicación en interfaces de usuario (UI) y material institucional.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Paleta Colorimétrica Institucional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 ha realizado una extracción de los valores cromáticos presentes en la composición. Estos colores configuran el sistema de diseño primario y secundario de la marca.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Color Institucional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Hexadecimal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RGB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Función en el Branding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Psicología y Percepción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Azul Marino Profundo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#1A335C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26, 51, 92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Primario: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Uso en contenedores, tipografía principal (si aplica) y elementos estructurales.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Transmite autoridad, rigor científico, seguridad institucional y solidez estructural.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Cian / Turquesa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#45C4B0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69, 196, 176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Secundario: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Uso en elementos de interacción, infografías y representación del medio acuático.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Denota fluidez, innovación tecnológica, vitalidad biológica y modernidad.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Dorado / Ocre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#C29B57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194, 155, 87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Acento: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Uso restringido para resaltar alertas, nodos de datos críticos o indicadores clave de rendimiento (KPIs).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Refleja el valor de la información (el dato como activo), el retorno de inversión (ROI) y el arraigo a la tierra/campesinado.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Blanco Puro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255, 255, 255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Fondo / Espacio Negativo: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Uso para separar elementos y garantizar la legibilidad.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Aporta limpieza visual, transparencia y minimiza la fatiga cognitiva del usuario.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Análisis Morfológico y Simbolismo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isotipo presenta un diseño concéntrico que integra armónicamente elementos biológicos y tecnológicos. La estructura se descompone en tres capas semánticas: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 Exterior (La Concha / "Shell"):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Geometría robusta en azul marino. Actúa como un escudo heráldico. Simboliza la plataforma de control operativo como un entorno seguro, protector de la información y estabilizador del proceso productivo.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 Intermedia (La Gota de Agua / "Aqua"):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Elemento transicional en cian. Representa el ecosistema físico de la acuicultura. Su forma fluida contrasta con la rigidez exterior, indicando adaptabilidad y enfoque en el recurso hídrico.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 Interior (El Pez / Red de Nodos):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 núcleo del isotipo. Se prescinde de la ilustración anatómica en favor de un grafo o red de vértices conectados. Esto codifica el concepto de "Hub de Datos", representando la biomasa no solo como animales, sino como puntos de información interconectados (trazabilidad, variables fisicoquímicas, biometría).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Directrices Preliminares de Aplicación (Brand Guidelines)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mantener la integridad del diseño en despliegues tecnológicos (aplicaciones móviles, plataformas web y reportes técnicos), se establecen las siguientes reglas de uso: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Contraste y Accesibilidad: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 Azul Marino (#1A335C) debe utilizarse como color principal para textos sobre fondos claros, asegurando un ratio de contraste óptimo para la lectura en condiciones de alta luminosidad (trabajo de campo).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Escalabilidad: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 carecer de tipografía integrada y líneas excesivamente delgadas, el isotipo soporta reducciones significativas (ej.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favicons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íconos de aplicaciones) sin perder legibilidad.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Restricción Cromática: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 debe evitar la aplicación de gradientes complejos o sombras paralelas (Drop Shadows) que alteren la naturaleza "Flat Design" (diseño plano) del activo.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ha establecido una combinación tipográfica (Font Pairing) basada en familias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Sans-Serif</w:t>
      </w:r>
      <w:r w:rsidDel="00000000" w:rsidR="00000000" w:rsidRPr="00000000">
        <w:rPr>
          <w:color w:val="1f1f1f"/>
          <w:rtl w:val="0"/>
        </w:rPr>
        <w:t xml:space="preserve"> de código abierto (Google Fonts), garantizando su rápida integración en entornos de desarrollo web y móvil (Vercel, Supabase, etc.).</w:t>
      </w:r>
    </w:p>
    <w:p w:rsidR="00000000" w:rsidDel="00000000" w:rsidP="00000000" w:rsidRDefault="00000000" w:rsidRPr="00000000" w14:paraId="00000029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11f26k7bz2d0" w:id="0"/>
      <w:bookmarkEnd w:id="0"/>
      <w:r w:rsidDel="00000000" w:rsidR="00000000" w:rsidRPr="00000000">
        <w:rPr>
          <w:color w:val="1f1f1f"/>
          <w:sz w:val="26"/>
          <w:szCs w:val="26"/>
          <w:rtl w:val="0"/>
        </w:rPr>
        <w:t xml:space="preserve">1. Tipografía Primaria (Branding y Titulares)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Familia Seleccionada: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Montserrat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Clasificación:</w:t>
      </w:r>
      <w:r w:rsidDel="00000000" w:rsidR="00000000" w:rsidRPr="00000000">
        <w:rPr>
          <w:color w:val="1f1f1f"/>
          <w:rtl w:val="0"/>
        </w:rPr>
        <w:t xml:space="preserve"> Geométrica Sans-Serif.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Función:</w:t>
      </w:r>
      <w:r w:rsidDel="00000000" w:rsidR="00000000" w:rsidRPr="00000000">
        <w:rPr>
          <w:color w:val="1f1f1f"/>
          <w:rtl w:val="0"/>
        </w:rPr>
        <w:t xml:space="preserve"> Uso exclusivo para el logotipo (si se requiere versión imagotipo), títulos principales (H1, H2), encabezados de reportes y material de marketing.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Justificación Técnica:</w:t>
      </w:r>
      <w:r w:rsidDel="00000000" w:rsidR="00000000" w:rsidRPr="00000000">
        <w:rPr>
          <w:color w:val="1f1f1f"/>
          <w:rtl w:val="0"/>
        </w:rPr>
        <w:t xml:space="preserve"> Su estructura geométrica y proporciones amplias armonizan perfectamente con las líneas sólidas de la "concha" (Capa Exterior) del isotipo. Transmite modernidad, estabilidad y rigor institucional.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Pesos Recomendados: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Bold</w:t>
      </w:r>
      <w:r w:rsidDel="00000000" w:rsidR="00000000" w:rsidRPr="00000000">
        <w:rPr>
          <w:color w:val="1f1f1f"/>
          <w:rtl w:val="0"/>
        </w:rPr>
        <w:t xml:space="preserve"> (700) para títulos principales;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SemiBold</w:t>
      </w:r>
      <w:r w:rsidDel="00000000" w:rsidR="00000000" w:rsidRPr="00000000">
        <w:rPr>
          <w:color w:val="1f1f1f"/>
          <w:rtl w:val="0"/>
        </w:rPr>
        <w:t xml:space="preserve"> (600) para subtítulos.</w:t>
      </w:r>
    </w:p>
    <w:p w:rsidR="00000000" w:rsidDel="00000000" w:rsidP="00000000" w:rsidRDefault="00000000" w:rsidRPr="00000000" w14:paraId="0000002F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cj3zxa6o8nrs" w:id="1"/>
      <w:bookmarkEnd w:id="1"/>
      <w:r w:rsidDel="00000000" w:rsidR="00000000" w:rsidRPr="00000000">
        <w:rPr>
          <w:color w:val="1f1f1f"/>
          <w:sz w:val="26"/>
          <w:szCs w:val="26"/>
          <w:rtl w:val="0"/>
        </w:rPr>
        <w:t xml:space="preserve">2. Tipografía Secundaria (Interfaz de Usuario y Datos)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Familia Seleccionada: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Clasificación:</w:t>
      </w:r>
      <w:r w:rsidDel="00000000" w:rsidR="00000000" w:rsidRPr="00000000">
        <w:rPr>
          <w:color w:val="1f1f1f"/>
          <w:rtl w:val="0"/>
        </w:rPr>
        <w:t xml:space="preserve"> Neo-Grotesca Sans-Serif (Optimizada para UI).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Función:</w:t>
      </w:r>
      <w:r w:rsidDel="00000000" w:rsidR="00000000" w:rsidRPr="00000000">
        <w:rPr>
          <w:color w:val="1f1f1f"/>
          <w:rtl w:val="0"/>
        </w:rPr>
        <w:t xml:space="preserve"> Uso en el cuerpo de texto, formularios de la aplicación móvil, tablas de datos, botones y lectura de variables fisicoquímicas.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Justificación Técnica: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Inter</w:t>
      </w:r>
      <w:r w:rsidDel="00000000" w:rsidR="00000000" w:rsidRPr="00000000">
        <w:rPr>
          <w:color w:val="1f1f1f"/>
          <w:rtl w:val="0"/>
        </w:rPr>
        <w:t xml:space="preserve"> fue diseñada específicamente para interfaces de usuario en pantallas de computadora y dispositivos móviles. Posee una altura de la "x" (x-height) elevada, lo que maximiza la legibilidad en tamaños reducidos. Es fundamental para Aquashell porque incluye características OpenType como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"Tabular Figures"</w:t>
      </w:r>
      <w:r w:rsidDel="00000000" w:rsidR="00000000" w:rsidRPr="00000000">
        <w:rPr>
          <w:color w:val="1f1f1f"/>
          <w:rtl w:val="0"/>
        </w:rPr>
        <w:t xml:space="preserve"> (números monoespaciados), lo cual permite que las columnas de datos (ej. kilos de alimento, niveles de oxígeno, biomasa) se alineen verticalmente de forma perfecta en los reportes estadísticos.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Pesos Recomendados: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Regular</w:t>
      </w:r>
      <w:r w:rsidDel="00000000" w:rsidR="00000000" w:rsidRPr="00000000">
        <w:rPr>
          <w:color w:val="1f1f1f"/>
          <w:rtl w:val="0"/>
        </w:rPr>
        <w:t xml:space="preserve"> (400) para lectura general;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Medium</w:t>
      </w:r>
      <w:r w:rsidDel="00000000" w:rsidR="00000000" w:rsidRPr="00000000">
        <w:rPr>
          <w:color w:val="1f1f1f"/>
          <w:rtl w:val="0"/>
        </w:rPr>
        <w:t xml:space="preserve"> (500) para etiquetas de botones y formularios.</w:t>
      </w:r>
    </w:p>
    <w:p w:rsidR="00000000" w:rsidDel="00000000" w:rsidP="00000000" w:rsidRDefault="00000000" w:rsidRPr="00000000" w14:paraId="00000035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izg2xyvhc3e0" w:id="2"/>
      <w:bookmarkEnd w:id="2"/>
      <w:r w:rsidDel="00000000" w:rsidR="00000000" w:rsidRPr="00000000">
        <w:rPr>
          <w:color w:val="1f1f1f"/>
          <w:sz w:val="26"/>
          <w:szCs w:val="26"/>
          <w:rtl w:val="0"/>
        </w:rPr>
        <w:t xml:space="preserve">3. Jerarquía y Aplicación Cromática (UI Guidelines)</w:t>
      </w:r>
    </w:p>
    <w:p w:rsidR="00000000" w:rsidDel="00000000" w:rsidP="00000000" w:rsidRDefault="00000000" w:rsidRPr="00000000" w14:paraId="00000036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la implementación en el código (CSS / frameworks de diseño), se establecen las siguientes reglas de jerarquía visual combinando la tipografía con la paleta de colores previamente extraída: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Títulos de Módulos (H1):</w:t>
      </w:r>
      <w:r w:rsidDel="00000000" w:rsidR="00000000" w:rsidRPr="00000000">
        <w:rPr>
          <w:color w:val="1f1f1f"/>
          <w:rtl w:val="0"/>
        </w:rPr>
        <w:t xml:space="preserve"> Montserrat Bold | Color: Azul Marino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#1A335C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Subtítulos e Indicadores (H2/H3):</w:t>
      </w:r>
      <w:r w:rsidDel="00000000" w:rsidR="00000000" w:rsidRPr="00000000">
        <w:rPr>
          <w:color w:val="1f1f1f"/>
          <w:rtl w:val="0"/>
        </w:rPr>
        <w:t xml:space="preserve"> Montserrat SemiBold | Color: Azul Marino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#1A335C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Cuerpo de Texto / Párrafos:</w:t>
      </w:r>
      <w:r w:rsidDel="00000000" w:rsidR="00000000" w:rsidRPr="00000000">
        <w:rPr>
          <w:color w:val="1f1f1f"/>
          <w:rtl w:val="0"/>
        </w:rPr>
        <w:t xml:space="preserve"> Inter Regular | Color: Gris Pizarra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#334155</w:t>
      </w:r>
      <w:r w:rsidDel="00000000" w:rsidR="00000000" w:rsidRPr="00000000">
        <w:rPr>
          <w:color w:val="1f1f1f"/>
          <w:rtl w:val="0"/>
        </w:rPr>
        <w:t xml:space="preserve">) para reducir la fatiga visual generada por el contraste extremo entre negro puro y blanco.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Etiquetas de Formularios (Labels):</w:t>
      </w:r>
      <w:r w:rsidDel="00000000" w:rsidR="00000000" w:rsidRPr="00000000">
        <w:rPr>
          <w:color w:val="1f1f1f"/>
          <w:rtl w:val="0"/>
        </w:rPr>
        <w:t xml:space="preserve"> Inter Medium | Color: Azul Marino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#1A335C</w:t>
      </w:r>
      <w:r w:rsidDel="00000000" w:rsidR="00000000" w:rsidRPr="00000000">
        <w:rPr>
          <w:color w:val="1f1f1f"/>
          <w:rtl w:val="0"/>
        </w:rPr>
        <w:t xml:space="preserve">) al 80% de opacidad.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KPIs Numéricos y Alertas:</w:t>
      </w:r>
      <w:r w:rsidDel="00000000" w:rsidR="00000000" w:rsidRPr="00000000">
        <w:rPr>
          <w:color w:val="1f1f1f"/>
          <w:rtl w:val="0"/>
        </w:rPr>
        <w:t xml:space="preserve"> Inter Bold | Color: Cian / Turquesa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#45C4B0</w:t>
      </w:r>
      <w:r w:rsidDel="00000000" w:rsidR="00000000" w:rsidRPr="00000000">
        <w:rPr>
          <w:color w:val="1f1f1f"/>
          <w:rtl w:val="0"/>
        </w:rPr>
        <w:t xml:space="preserve">) para métricas de éxito, o Dorado / Ocre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#C29B57</w:t>
      </w:r>
      <w:r w:rsidDel="00000000" w:rsidR="00000000" w:rsidRPr="00000000">
        <w:rPr>
          <w:color w:val="1f1f1f"/>
          <w:rtl w:val="0"/>
        </w:rPr>
        <w:t xml:space="preserve">) para advertencias o límites biológicos.</w:t>
      </w:r>
    </w:p>
    <w:p w:rsidR="00000000" w:rsidDel="00000000" w:rsidP="00000000" w:rsidRDefault="00000000" w:rsidRPr="00000000" w14:paraId="0000003C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 la paleta colorimétrica y el sistema tipográfico definidos, el Manual de Identidad Visual (Brand Book) de Aquashell cuenta con los cimientos técnicos necesarios para pasar a la fase de prototipado de interfaz (UI Design).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