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Montserrat" w:cs="Montserrat" w:eastAsia="Montserrat" w:hAnsi="Montserrat"/>
          <w:b/>
          <w:bCs/>
          <w:color w:val="45C4B0"/>
          <w:sz w:val="72"/>
          <w:szCs w:val="72"/>
        </w:rPr>
        <w:t xml:space="preserve">TDD-04</w:t>
      </w:r>
    </w:p>
    <w:p>
      <w:pPr>
        <w:spacing w:after="80" w:before="0"/>
      </w:pPr>
      <w:r>
        <w:rPr>
          <w:rFonts w:ascii="Montserrat" w:cs="Montserrat" w:eastAsia="Montserrat" w:hAnsi="Montserrat"/>
          <w:b/>
          <w:bCs/>
          <w:color w:val="1A335C"/>
          <w:sz w:val="48"/>
          <w:szCs w:val="48"/>
        </w:rPr>
        <w:t xml:space="preserve">Motor de Biomasa Local</w:t>
      </w:r>
    </w:p>
    <w:p>
      <w:pPr>
        <w:spacing w:after="40" w:before="0"/>
      </w:pPr>
      <w:r>
        <w:rPr>
          <w:rFonts w:ascii="Inter" w:cs="Inter" w:eastAsia="Inter" w:hAnsi="Inter"/>
          <w:color w:val="334155"/>
          <w:sz w:val="24"/>
          <w:szCs w:val="24"/>
        </w:rPr>
        <w:t xml:space="preserve">Especificación del Snapshot Biométrico y Modelo de Tasa de Alimentación Offline</w:t>
      </w:r>
    </w:p>
    <w:p>
      <w:pPr>
        <w:spacing w:after="480" w:before="0"/>
      </w:pPr>
      <w:r>
        <w:rPr>
          <w:rFonts w:ascii="Inter" w:cs="Inter" w:eastAsia="Inter" w:hAnsi="Inter"/>
          <w:color w:val="334155"/>
          <w:sz w:val="20"/>
          <w:szCs w:val="20"/>
        </w:rPr>
        <w:t xml:space="preserve">Versión 1.0  ·  2026-05-03  ·  Estado: </w:t>
      </w:r>
      <w:r>
        <w:rPr>
          <w:rFonts w:ascii="Montserrat" w:cs="Montserrat" w:eastAsia="Montserrat" w:hAnsi="Montserrat"/>
          <w:b/>
          <w:bCs/>
          <w:color w:val="45C4B0"/>
          <w:sz w:val="20"/>
          <w:szCs w:val="20"/>
        </w:rPr>
        <w:t xml:space="preserve">APROBADO</w:t>
      </w:r>
    </w:p>
    <w:p>
      <w:r>
        <w:br w:type="pag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1. Justificación y Contexto de la Brecha</w:t>
      </w:r>
    </w:p>
    <w:p>
      <w:pPr>
        <w:spacing w:after="80" w:before="60"/>
      </w:pPr>
      <w:r>
        <w:rPr>
          <w:rFonts w:ascii="Inter" w:cs="Inter" w:eastAsia="Inter" w:hAnsi="Inter"/>
          <w:color w:val="334155"/>
          <w:sz w:val="22"/>
          <w:szCs w:val="22"/>
        </w:rPr>
        <w:t xml:space="preserve">El CU-AQUA-04 (Transacción de Alimentación) define en su Excepción E2 un "Hard Limit biológico" que impide registrar cantidades de alimento que excedan el porcentaje máximo de alimentación diaria (%BW) para la biomasa viva del estanque. Sin embargo, el TDD-01 no especificó cuáles parámetros biométricos debe incluir el Snapshot de inicialización, ni cómo el dispositivo calcula este límite localmente sin internet.</w:t>
      </w:r>
    </w:p>
    <w:p>
      <w:pPr>
        <w:spacing w:after="80" w:before="60"/>
      </w:pPr>
      <w:r>
        <w:rPr>
          <w:rFonts w:ascii="Inter" w:cs="Inter" w:eastAsia="Inter" w:hAnsi="Inter"/>
          <w:color w:val="334155"/>
          <w:sz w:val="22"/>
          <w:szCs w:val="22"/>
        </w:rPr>
        <w:t xml:space="preserve">Esta brecha genera un riesgo de ejecución crítico: si el motor local no puede calcular la biomasa estimada, el freno matemático del CU-04 no puede activarse, exponiendo el sistema a errores de digitación (fat-finger) que corrompen el FCA y el OPEX de la granja.</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2. Ampliación del Contrato del Snapshot (CU-AQUA-01)</w:t>
      </w:r>
    </w:p>
    <w:p>
      <w:pPr>
        <w:pStyle w:val="Heading2"/>
        <w:spacing w:after="120" w:before="280"/>
      </w:pPr>
      <w:r>
        <w:rPr>
          <w:rFonts w:ascii="Montserrat" w:cs="Montserrat" w:eastAsia="Montserrat" w:hAnsi="Montserrat"/>
          <w:b/>
          <w:bCs/>
          <w:color w:val="1A335C"/>
          <w:sz w:val="26"/>
          <w:szCs w:val="26"/>
        </w:rPr>
        <w:t xml:space="preserve">2.1. Nuevos Campos Requeridos en la Respuesta del Endpoint /sync/snapshot</w:t>
      </w:r>
    </w:p>
    <w:p>
      <w:pPr>
        <w:spacing w:after="80" w:before="60"/>
      </w:pPr>
      <w:r>
        <w:rPr>
          <w:rFonts w:ascii="Inter" w:cs="Inter" w:eastAsia="Inter" w:hAnsi="Inter"/>
          <w:color w:val="334155"/>
          <w:sz w:val="22"/>
          <w:szCs w:val="22"/>
        </w:rPr>
        <w:t xml:space="preserve">El endpoint de sincronización debe incluir, por cada lote de cultivo activo, los siguientes parámetros biométricos mínimos: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Campo JSON</w:t>
            </w:r>
          </w:p>
        </w:tc>
        <w:tc>
          <w:tcPr>
            <w:tcW w:type="dxa" w:w="18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Tipo</w:t>
            </w:r>
          </w:p>
        </w:tc>
        <w:tc>
          <w:tcPr>
            <w:tcW w:type="dxa" w:w="21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Unidad</w:t>
            </w:r>
          </w:p>
        </w:tc>
        <w:tc>
          <w:tcPr>
            <w:tcW w:type="dxa" w:w="30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Descripción</w:t>
            </w:r>
          </w:p>
        </w:tc>
      </w:tr>
      <w:tr>
        <w:tc>
          <w:tcPr>
            <w:tcW w:type="dxa" w:w="2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peso_promedio_actual_g</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DECIMAL(8,2)</w:t>
            </w:r>
          </w:p>
        </w:tc>
        <w:tc>
          <w:tcPr>
            <w:tcW w:type="dxa" w:w="2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gramos</w:t>
            </w:r>
          </w:p>
        </w:tc>
        <w:tc>
          <w:tcPr>
            <w:tcW w:type="dxa" w:w="3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Peso individual promedio del último muestreo validado</w:t>
            </w:r>
          </w:p>
        </w:tc>
      </w:tr>
      <w:tr>
        <w:tc>
          <w:tcPr>
            <w:tcW w:type="dxa" w:w="2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fecha_ultimo_muestreo</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TIMESTAMP</w:t>
            </w:r>
          </w:p>
        </w:tc>
        <w:tc>
          <w:tcPr>
            <w:tcW w:type="dxa" w:w="2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ISO 8601</w:t>
            </w:r>
          </w:p>
        </w:tc>
        <w:tc>
          <w:tcPr>
            <w:tcW w:type="dxa" w:w="3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Fecha del muestreo que origina peso_promedio_actual_g</w:t>
            </w:r>
          </w:p>
        </w:tc>
      </w:tr>
      <w:tr>
        <w:tc>
          <w:tcPr>
            <w:tcW w:type="dxa" w:w="2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numero_peces_vivos</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INTEGER</w:t>
            </w:r>
          </w:p>
        </w:tc>
        <w:tc>
          <w:tcPr>
            <w:tcW w:type="dxa" w:w="2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individuos</w:t>
            </w:r>
          </w:p>
        </w:tc>
        <w:tc>
          <w:tcPr>
            <w:tcW w:type="dxa" w:w="3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Censo actualizado descontando mortalidades previas</w:t>
            </w:r>
          </w:p>
        </w:tc>
      </w:tr>
      <w:tr>
        <w:tc>
          <w:tcPr>
            <w:tcW w:type="dxa" w:w="2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factor_alimentacion_pct</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DECIMAL(4,2)</w:t>
            </w:r>
          </w:p>
        </w:tc>
        <w:tc>
          <w:tcPr>
            <w:tcW w:type="dxa" w:w="2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%BW/día</w:t>
            </w:r>
          </w:p>
        </w:tc>
        <w:tc>
          <w:tcPr>
            <w:tcW w:type="dxa" w:w="3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Tasa de alimentación configurada para el estadío actual</w:t>
            </w:r>
          </w:p>
        </w:tc>
      </w:tr>
      <w:tr>
        <w:tc>
          <w:tcPr>
            <w:tcW w:type="dxa" w:w="2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especie_codigo</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VARCHAR(20)</w:t>
            </w:r>
          </w:p>
        </w:tc>
        <w:tc>
          <w:tcPr>
            <w:tcW w:type="dxa" w:w="2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código</w:t>
            </w:r>
          </w:p>
        </w:tc>
        <w:tc>
          <w:tcPr>
            <w:tcW w:type="dxa" w:w="3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Código estándar de especie (ej. OreNilo, ColMacr, OncMykis)</w:t>
            </w:r>
          </w:p>
        </w:tc>
      </w:tr>
      <w:tr>
        <w:tc>
          <w:tcPr>
            <w:tcW w:type="dxa" w:w="24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estadio_cultivo</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VARCHAR(20)</w:t>
            </w:r>
          </w:p>
        </w:tc>
        <w:tc>
          <w:tcPr>
            <w:tcW w:type="dxa" w:w="21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enum</w:t>
            </w:r>
          </w:p>
        </w:tc>
        <w:tc>
          <w:tcPr>
            <w:tcW w:type="dxa" w:w="30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Siembra / Levante / Engorde / Pre-cosecha</w:t>
            </w:r>
          </w:p>
        </w:tc>
      </w:tr>
      <w:tr>
        <w:tc>
          <w:tcPr>
            <w:tcW w:type="dxa" w:w="24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capacidad_carga_kg_m3</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DECIMAL(6,2)</w:t>
            </w:r>
          </w:p>
        </w:tc>
        <w:tc>
          <w:tcPr>
            <w:tcW w:type="dxa" w:w="21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kg/m³</w:t>
            </w:r>
          </w:p>
        </w:tc>
        <w:tc>
          <w:tcPr>
            <w:tcW w:type="dxa" w:w="30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Densidad máxima permisible para el estanque</w:t>
            </w:r>
          </w:p>
        </w:tc>
      </w:tr>
    </w:tbl>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3. Modelo de Tasa de Alimentación Máxima (Hard Limit Biológico)</w:t>
      </w:r>
    </w:p>
    <w:p>
      <w:pPr>
        <w:pStyle w:val="Heading2"/>
        <w:spacing w:after="120" w:before="280"/>
      </w:pPr>
      <w:r>
        <w:rPr>
          <w:rFonts w:ascii="Montserrat" w:cs="Montserrat" w:eastAsia="Montserrat" w:hAnsi="Montserrat"/>
          <w:b/>
          <w:bCs/>
          <w:color w:val="1A335C"/>
          <w:sz w:val="26"/>
          <w:szCs w:val="26"/>
        </w:rPr>
        <w:t xml:space="preserve">3.1. Fenomenología</w:t>
      </w:r>
    </w:p>
    <w:p>
      <w:pPr>
        <w:spacing w:after="80" w:before="60"/>
      </w:pPr>
      <w:r>
        <w:rPr>
          <w:rFonts w:ascii="Inter" w:cs="Inter" w:eastAsia="Inter" w:hAnsi="Inter"/>
          <w:color w:val="334155"/>
          <w:sz w:val="22"/>
          <w:szCs w:val="22"/>
        </w:rPr>
        <w:t xml:space="preserve">La cantidad máxima de alimento diario que una cohorte de peces puede recibir sin generar desperdicio metabólico ni contaminar el estanque (exceso de TAN) está determinada por la Tasa de Alimentación como porcentaje del peso vivo total (%BW — Body Weight). Esta tasa varía en función inversa al peso individual: individuos más pequeños tienen mayor tasa metabólica relativa y requieren más alimento por kilogramo de biomasa.</w:t>
      </w:r>
    </w:p>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3.2. Parámetros Estándar por Especie y Estadío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1560"/>
        <w:gridCol w:w="2240"/>
      </w:tblGrid>
      <w:tr>
        <w:trPr>
          <w:tblHeader/>
        </w:trPr>
        <w:tc>
          <w:tcPr>
            <w:tcW w:type="dxa" w:w="22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Especie</w:t>
            </w:r>
          </w:p>
        </w:tc>
        <w:tc>
          <w:tcPr>
            <w:tcW w:type="dxa" w:w="180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Estadío</w:t>
            </w:r>
          </w:p>
        </w:tc>
        <w:tc>
          <w:tcPr>
            <w:tcW w:type="dxa" w:w="15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Peso (g)</w:t>
            </w:r>
          </w:p>
        </w:tc>
        <w:tc>
          <w:tcPr>
            <w:tcW w:type="dxa" w:w="156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%BW/día</w:t>
            </w:r>
          </w:p>
        </w:tc>
        <w:tc>
          <w:tcPr>
            <w:tcW w:type="dxa" w:w="2240"/>
            <w:tcBorders>
              <w:top w:val="single" w:color="1A335C" w:sz="1"/>
              <w:left w:val="single" w:color="1A335C" w:sz="1"/>
              <w:bottom w:val="single" w:color="1A335C" w:sz="1"/>
              <w:right w:val="single" w:color="1A335C" w:sz="1"/>
            </w:tcBorders>
            <w:shd w:fill="1A335C" w:val="clear"/>
            <w:tcMar>
              <w:top w:type="dxa" w:w="80"/>
              <w:left w:type="dxa" w:w="120"/>
              <w:bottom w:type="dxa" w:w="80"/>
              <w:right w:type="dxa" w:w="120"/>
            </w:tcMar>
          </w:tcPr>
          <w:p>
            <w:pPr>
              <w:jc w:val="center"/>
            </w:pPr>
            <w:r>
              <w:rPr>
                <w:rFonts w:ascii="Montserrat" w:cs="Montserrat" w:eastAsia="Montserrat" w:hAnsi="Montserrat"/>
                <w:b/>
                <w:bCs/>
                <w:color w:val="FFFFFF"/>
                <w:sz w:val="20"/>
                <w:szCs w:val="20"/>
              </w:rPr>
              <w:t xml:space="preserve">Fuente Referencial</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Tilapia (Oreochromis sp.)</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Levante</w:t>
            </w:r>
          </w:p>
        </w:tc>
        <w:tc>
          <w:tcPr>
            <w:tcW w:type="dxa" w:w="15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1–50</w:t>
            </w:r>
          </w:p>
        </w:tc>
        <w:tc>
          <w:tcPr>
            <w:tcW w:type="dxa" w:w="15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5.0–8.0%</w:t>
            </w:r>
          </w:p>
        </w:tc>
        <w:tc>
          <w:tcPr>
            <w:tcW w:type="dxa" w:w="224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Fedeacua / FAO</w:t>
            </w:r>
          </w:p>
        </w:tc>
      </w:tr>
      <w:tr>
        <w:tc>
          <w:tcPr>
            <w:tcW w:type="dxa" w:w="2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Tilapia (Oreochromis sp.)</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Engorde</w:t>
            </w:r>
          </w:p>
        </w:tc>
        <w:tc>
          <w:tcPr>
            <w:tcW w:type="dxa" w:w="15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50–300</w:t>
            </w:r>
          </w:p>
        </w:tc>
        <w:tc>
          <w:tcPr>
            <w:tcW w:type="dxa" w:w="15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3.0–5.0%</w:t>
            </w:r>
          </w:p>
        </w:tc>
        <w:tc>
          <w:tcPr>
            <w:tcW w:type="dxa" w:w="224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Fedeacua / FAO</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Tilapia (Oreochromis sp.)</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Pre-cosecha</w:t>
            </w:r>
          </w:p>
        </w:tc>
        <w:tc>
          <w:tcPr>
            <w:tcW w:type="dxa" w:w="15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300–700</w:t>
            </w:r>
          </w:p>
        </w:tc>
        <w:tc>
          <w:tcPr>
            <w:tcW w:type="dxa" w:w="15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1.5–3.0%</w:t>
            </w:r>
          </w:p>
        </w:tc>
        <w:tc>
          <w:tcPr>
            <w:tcW w:type="dxa" w:w="224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Fedeacua / FAO</w:t>
            </w:r>
          </w:p>
        </w:tc>
      </w:tr>
      <w:tr>
        <w:tc>
          <w:tcPr>
            <w:tcW w:type="dxa" w:w="2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Cachama (Colossoma macropomum)</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Engorde</w:t>
            </w:r>
          </w:p>
        </w:tc>
        <w:tc>
          <w:tcPr>
            <w:tcW w:type="dxa" w:w="15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50–500</w:t>
            </w:r>
          </w:p>
        </w:tc>
        <w:tc>
          <w:tcPr>
            <w:tcW w:type="dxa" w:w="15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3.0–5.0%</w:t>
            </w:r>
          </w:p>
        </w:tc>
        <w:tc>
          <w:tcPr>
            <w:tcW w:type="dxa" w:w="224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AUNAP Colombia</w:t>
            </w:r>
          </w:p>
        </w:tc>
      </w:tr>
      <w:tr>
        <w:tc>
          <w:tcPr>
            <w:tcW w:type="dxa" w:w="22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Trucha (Oncorhynchus mykiss)</w:t>
            </w:r>
          </w:p>
        </w:tc>
        <w:tc>
          <w:tcPr>
            <w:tcW w:type="dxa" w:w="180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Engorde</w:t>
            </w:r>
          </w:p>
        </w:tc>
        <w:tc>
          <w:tcPr>
            <w:tcW w:type="dxa" w:w="15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50–250</w:t>
            </w:r>
          </w:p>
        </w:tc>
        <w:tc>
          <w:tcPr>
            <w:tcW w:type="dxa" w:w="156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2.0–3.5%</w:t>
            </w:r>
          </w:p>
        </w:tc>
        <w:tc>
          <w:tcPr>
            <w:tcW w:type="dxa" w:w="2240"/>
            <w:tcBorders>
              <w:top w:val="single" w:color="1A335C" w:sz="1"/>
              <w:left w:val="single" w:color="1A335C" w:sz="1"/>
              <w:bottom w:val="single" w:color="1A335C" w:sz="1"/>
              <w:right w:val="single" w:color="1A335C" w:sz="1"/>
            </w:tcBorders>
            <w:shd w:fill="FFFFFF" w:val="clear"/>
            <w:tcMar>
              <w:top w:type="dxa" w:w="80"/>
              <w:left w:type="dxa" w:w="120"/>
              <w:bottom w:type="dxa" w:w="80"/>
              <w:right w:type="dxa" w:w="120"/>
            </w:tcMar>
          </w:tcPr>
          <w:p>
            <w:r>
              <w:rPr>
                <w:rFonts w:ascii="Inter" w:cs="Inter" w:eastAsia="Inter" w:hAnsi="Inter"/>
                <w:color w:val="334155"/>
                <w:sz w:val="20"/>
                <w:szCs w:val="20"/>
              </w:rPr>
              <w:t xml:space="preserve">MADR / Solla</w:t>
            </w:r>
          </w:p>
        </w:tc>
      </w:tr>
      <w:tr>
        <w:tc>
          <w:tcPr>
            <w:tcW w:type="dxa" w:w="22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Camarón (Litopenaeus vannamei)</w:t>
            </w:r>
          </w:p>
        </w:tc>
        <w:tc>
          <w:tcPr>
            <w:tcW w:type="dxa" w:w="180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Engorde</w:t>
            </w:r>
          </w:p>
        </w:tc>
        <w:tc>
          <w:tcPr>
            <w:tcW w:type="dxa" w:w="15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0.1–20</w:t>
            </w:r>
          </w:p>
        </w:tc>
        <w:tc>
          <w:tcPr>
            <w:tcW w:type="dxa" w:w="156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3.0–6.0%</w:t>
            </w:r>
          </w:p>
        </w:tc>
        <w:tc>
          <w:tcPr>
            <w:tcW w:type="dxa" w:w="2240"/>
            <w:tcBorders>
              <w:top w:val="single" w:color="1A335C" w:sz="1"/>
              <w:left w:val="single" w:color="1A335C" w:sz="1"/>
              <w:bottom w:val="single" w:color="1A335C" w:sz="1"/>
              <w:right w:val="single" w:color="1A335C" w:sz="1"/>
            </w:tcBorders>
            <w:shd w:fill="EAF6F4" w:val="clear"/>
            <w:tcMar>
              <w:top w:type="dxa" w:w="80"/>
              <w:left w:type="dxa" w:w="120"/>
              <w:bottom w:type="dxa" w:w="80"/>
              <w:right w:type="dxa" w:w="120"/>
            </w:tcMar>
          </w:tcPr>
          <w:p>
            <w:r>
              <w:rPr>
                <w:rFonts w:ascii="Inter" w:cs="Inter" w:eastAsia="Inter" w:hAnsi="Inter"/>
                <w:color w:val="334155"/>
                <w:sz w:val="20"/>
                <w:szCs w:val="20"/>
              </w:rPr>
              <w:t xml:space="preserve">Global Seafood Alliance</w:t>
            </w:r>
          </w:p>
        </w:tc>
      </w:tr>
    </w:tbl>
    <w:p>
      <w:pPr>
        <w:spacing w:after="120" w:before="120"/>
      </w:pPr>
      <w:r>
        <w:t xml:space="preserve"/>
      </w:r>
    </w:p>
    <w:p>
      <w:pPr>
        <w:pStyle w:val="Heading2"/>
        <w:spacing w:after="120" w:before="280"/>
      </w:pPr>
      <w:r>
        <w:rPr>
          <w:rFonts w:ascii="Montserrat" w:cs="Montserrat" w:eastAsia="Montserrat" w:hAnsi="Montserrat"/>
          <w:b/>
          <w:bCs/>
          <w:color w:val="1A335C"/>
          <w:sz w:val="26"/>
          <w:szCs w:val="26"/>
        </w:rPr>
        <w:t xml:space="preserve">3.3. Fórmulas de Cálculo Local (Ejecutadas en SQLite del Dispositivo)</w:t>
      </w:r>
    </w:p>
    <w:p>
      <w:pPr>
        <w:spacing w:after="80" w:before="60"/>
      </w:pPr>
      <w:r>
        <w:rPr>
          <w:rFonts w:ascii="Inter" w:cs="Inter" w:eastAsia="Inter" w:hAnsi="Inter"/>
          <w:color w:val="334155"/>
          <w:sz w:val="22"/>
          <w:szCs w:val="22"/>
        </w:rPr>
        <w:t xml:space="preserve">El motor local ejecuta las siguientes operaciones en secuencia sin requerir conexión a internet:</w:t>
      </w:r>
    </w:p>
    <w:p>
      <w:pPr>
        <w:spacing w:after="80" w:before="60"/>
      </w:pPr>
      <w:r>
        <w:rPr>
          <w:rFonts w:ascii="Inter" w:cs="Inter" w:eastAsia="Inter" w:hAnsi="Inter"/>
          <w:color w:val="334155"/>
          <w:sz w:val="22"/>
          <w:szCs w:val="22"/>
        </w:rPr>
        <w:t xml:space="preserve">Paso 1 — Biomasa Total Estimada (BTe):</w:t>
      </w:r>
    </w:p>
    <w:p>
      <w:pPr>
        <w:shd w:fill="1E2A3A" w:val="clear"/>
        <w:spacing w:after="80" w:before="80"/>
        <w:ind w:left="360"/>
      </w:pPr>
      <w:r>
        <w:rPr>
          <w:rFonts w:ascii="Courier New" w:cs="Courier New" w:eastAsia="Courier New" w:hAnsi="Courier New"/>
          <w:color w:val="45C4B0"/>
          <w:sz w:val="18"/>
          <w:szCs w:val="18"/>
        </w:rPr>
        <w:t xml:space="preserve">BTe [kg] = (peso_promedio_actual_g / 1000) × numero_peces_vivos</w:t>
      </w:r>
    </w:p>
    <w:p>
      <w:pPr>
        <w:spacing w:after="80" w:before="60"/>
      </w:pPr>
      <w:r>
        <w:rPr>
          <w:rFonts w:ascii="Inter" w:cs="Inter" w:eastAsia="Inter" w:hAnsi="Inter"/>
          <w:color w:val="334155"/>
          <w:sz w:val="22"/>
          <w:szCs w:val="22"/>
        </w:rPr>
        <w:t xml:space="preserve">Paso 2 — Ajuste de peso por días transcurridos desde el muestreo (proyección lineal simplificada):</w:t>
      </w:r>
    </w:p>
    <w:p>
      <w:pPr>
        <w:shd w:fill="1E2A3A" w:val="clear"/>
        <w:spacing w:after="80" w:before="80"/>
        <w:ind w:left="360"/>
      </w:pPr>
      <w:r>
        <w:rPr>
          <w:rFonts w:ascii="Courier New" w:cs="Courier New" w:eastAsia="Courier New" w:hAnsi="Courier New"/>
          <w:color w:val="45C4B0"/>
          <w:sz w:val="18"/>
          <w:szCs w:val="18"/>
        </w:rPr>
        <w:t xml:space="preserve">Δt = (timestamp_evento - fecha_ultimo_muestreo) en días</w:t>
      </w:r>
    </w:p>
    <w:p>
      <w:pPr>
        <w:shd w:fill="1E2A3A" w:val="clear"/>
        <w:spacing w:after="80" w:before="80"/>
        <w:ind w:left="360"/>
      </w:pPr>
      <w:r>
        <w:rPr>
          <w:rFonts w:ascii="Courier New" w:cs="Courier New" w:eastAsia="Courier New" w:hAnsi="Courier New"/>
          <w:color w:val="45C4B0"/>
          <w:sz w:val="18"/>
          <w:szCs w:val="18"/>
        </w:rPr>
        <w:t xml:space="preserve">peso_proyectado_g = peso_promedio_actual_g × (1 + tasa_crecimiento_diario_pct/100)^Δt</w:t>
      </w:r>
    </w:p>
    <w:p>
      <w:pPr>
        <w:shd w:fill="1E2A3A" w:val="clear"/>
        <w:spacing w:after="80" w:before="80"/>
        <w:ind w:left="360"/>
      </w:pPr>
      <w:r>
        <w:rPr>
          <w:rFonts w:ascii="Courier New" w:cs="Courier New" w:eastAsia="Courier New" w:hAnsi="Courier New"/>
          <w:color w:val="45C4B0"/>
          <w:sz w:val="18"/>
          <w:szCs w:val="18"/>
        </w:rPr>
        <w:t xml:space="preserve">// tasa_crecimiento_diario_pct: valor descargado en el Snapshot (típico: 0.8–1.2%/día)</w:t>
      </w:r>
    </w:p>
    <w:p>
      <w:pPr>
        <w:spacing w:after="80" w:before="60"/>
      </w:pPr>
      <w:r>
        <w:rPr>
          <w:rFonts w:ascii="Inter" w:cs="Inter" w:eastAsia="Inter" w:hAnsi="Inter"/>
          <w:color w:val="334155"/>
          <w:sz w:val="22"/>
          <w:szCs w:val="22"/>
        </w:rPr>
        <w:t xml:space="preserve">Paso 3 — Límite Máximo de Alimentación Diaria (LMAx):</w:t>
      </w:r>
    </w:p>
    <w:p>
      <w:pPr>
        <w:shd w:fill="1E2A3A" w:val="clear"/>
        <w:spacing w:after="80" w:before="80"/>
        <w:ind w:left="360"/>
      </w:pPr>
      <w:r>
        <w:rPr>
          <w:rFonts w:ascii="Courier New" w:cs="Courier New" w:eastAsia="Courier New" w:hAnsi="Courier New"/>
          <w:color w:val="45C4B0"/>
          <w:sz w:val="18"/>
          <w:szCs w:val="18"/>
        </w:rPr>
        <w:t xml:space="preserve">LMAx [kg/día] = BTe_proyectada × (factor_alimentacion_pct / 100)</w:t>
      </w:r>
    </w:p>
    <w:p>
      <w:pPr>
        <w:spacing w:after="80" w:before="60"/>
      </w:pPr>
      <w:r>
        <w:rPr>
          <w:rFonts w:ascii="Inter" w:cs="Inter" w:eastAsia="Inter" w:hAnsi="Inter"/>
          <w:color w:val="334155"/>
          <w:sz w:val="22"/>
          <w:szCs w:val="22"/>
        </w:rPr>
        <w:t xml:space="preserve">Paso 4 — Hard Limit de la Transacción Individual:</w:t>
      </w:r>
    </w:p>
    <w:p>
      <w:pPr>
        <w:shd w:fill="1E2A3A" w:val="clear"/>
        <w:spacing w:after="80" w:before="80"/>
        <w:ind w:left="360"/>
      </w:pPr>
      <w:r>
        <w:rPr>
          <w:rFonts w:ascii="Courier New" w:cs="Courier New" w:eastAsia="Courier New" w:hAnsi="Courier New"/>
          <w:color w:val="45C4B0"/>
          <w:sz w:val="18"/>
          <w:szCs w:val="18"/>
        </w:rPr>
        <w:t xml:space="preserve">Si cantidad_kg_ingresada &gt; LMAx × 1.5 → BLOQUEO INMEDIATO (Error E2)</w:t>
      </w:r>
    </w:p>
    <w:p>
      <w:pPr>
        <w:shd w:fill="1E2A3A" w:val="clear"/>
        <w:spacing w:after="80" w:before="80"/>
        <w:ind w:left="360"/>
      </w:pPr>
      <w:r>
        <w:rPr>
          <w:rFonts w:ascii="Courier New" w:cs="Courier New" w:eastAsia="Courier New" w:hAnsi="Courier New"/>
          <w:color w:val="45C4B0"/>
          <w:sz w:val="18"/>
          <w:szCs w:val="18"/>
        </w:rPr>
        <w:t xml:space="preserve">Si LMAx &lt; cantidad_kg_ingresada ≤ LMAx × 1.5 → ALERTA AMARILLA (advertencia)</w:t>
      </w:r>
    </w:p>
    <w:p>
      <w:pPr>
        <w:shd w:fill="1E2A3A" w:val="clear"/>
        <w:spacing w:after="80" w:before="80"/>
        <w:ind w:left="360"/>
      </w:pPr>
      <w:r>
        <w:rPr>
          <w:rFonts w:ascii="Courier New" w:cs="Courier New" w:eastAsia="Courier New" w:hAnsi="Courier New"/>
          <w:color w:val="45C4B0"/>
          <w:sz w:val="18"/>
          <w:szCs w:val="18"/>
        </w:rPr>
        <w:t xml:space="preserve">Si cantidad_kg_ingresada ≤ LMAx → APROBADO</w:t>
      </w:r>
    </w:p>
    <w:p>
      <w:pPr>
        <w:spacing w:after="80" w:before="60"/>
      </w:pPr>
      <w:r>
        <w:rPr>
          <w:rFonts w:ascii="Inter" w:cs="Inter" w:eastAsia="Inter" w:hAnsi="Inter"/>
          <w:color w:val="334155"/>
          <w:sz w:val="22"/>
          <w:szCs w:val="22"/>
        </w:rPr>
        <w:t xml:space="preserve">Nota: El factor 1.5 permite múltiples raciones diarias sin bloquear la segunda o tercera alimentación del día.</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4. Pseudocódigo — biomassEngine.ts</w:t>
      </w:r>
    </w:p>
    <w:p>
      <w:pPr>
        <w:shd w:fill="1E2A3A" w:val="clear"/>
        <w:spacing w:after="80" w:before="80"/>
        <w:ind w:left="360"/>
      </w:pPr>
      <w:r>
        <w:rPr>
          <w:rFonts w:ascii="Courier New" w:cs="Courier New" w:eastAsia="Courier New" w:hAnsi="Courier New"/>
          <w:color w:val="45C4B0"/>
          <w:sz w:val="18"/>
          <w:szCs w:val="18"/>
        </w:rPr>
        <w:t xml:space="preserve">// apps/mobile-app/src/db/biomassEngine.ts</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interface LoteSnapshot {</w:t>
      </w:r>
    </w:p>
    <w:p>
      <w:pPr>
        <w:shd w:fill="1E2A3A" w:val="clear"/>
        <w:spacing w:after="80" w:before="80"/>
        <w:ind w:left="360"/>
      </w:pPr>
      <w:r>
        <w:rPr>
          <w:rFonts w:ascii="Courier New" w:cs="Courier New" w:eastAsia="Courier New" w:hAnsi="Courier New"/>
          <w:color w:val="45C4B0"/>
          <w:sz w:val="18"/>
          <w:szCs w:val="18"/>
        </w:rPr>
        <w:t xml:space="preserve">  id_lote: string;</w:t>
      </w:r>
    </w:p>
    <w:p>
      <w:pPr>
        <w:shd w:fill="1E2A3A" w:val="clear"/>
        <w:spacing w:after="80" w:before="80"/>
        <w:ind w:left="360"/>
      </w:pPr>
      <w:r>
        <w:rPr>
          <w:rFonts w:ascii="Courier New" w:cs="Courier New" w:eastAsia="Courier New" w:hAnsi="Courier New"/>
          <w:color w:val="45C4B0"/>
          <w:sz w:val="18"/>
          <w:szCs w:val="18"/>
        </w:rPr>
        <w:t xml:space="preserve">  peso_promedio_actual_g: number;</w:t>
      </w:r>
    </w:p>
    <w:p>
      <w:pPr>
        <w:shd w:fill="1E2A3A" w:val="clear"/>
        <w:spacing w:after="80" w:before="80"/>
        <w:ind w:left="360"/>
      </w:pPr>
      <w:r>
        <w:rPr>
          <w:rFonts w:ascii="Courier New" w:cs="Courier New" w:eastAsia="Courier New" w:hAnsi="Courier New"/>
          <w:color w:val="45C4B0"/>
          <w:sz w:val="18"/>
          <w:szCs w:val="18"/>
        </w:rPr>
        <w:t xml:space="preserve">  fecha_ultimo_muestreo: string; // ISO 8601</w:t>
      </w:r>
    </w:p>
    <w:p>
      <w:pPr>
        <w:shd w:fill="1E2A3A" w:val="clear"/>
        <w:spacing w:after="80" w:before="80"/>
        <w:ind w:left="360"/>
      </w:pPr>
      <w:r>
        <w:rPr>
          <w:rFonts w:ascii="Courier New" w:cs="Courier New" w:eastAsia="Courier New" w:hAnsi="Courier New"/>
          <w:color w:val="45C4B0"/>
          <w:sz w:val="18"/>
          <w:szCs w:val="18"/>
        </w:rPr>
        <w:t xml:space="preserve">  numero_peces_vivos: number;</w:t>
      </w:r>
    </w:p>
    <w:p>
      <w:pPr>
        <w:shd w:fill="1E2A3A" w:val="clear"/>
        <w:spacing w:after="80" w:before="80"/>
        <w:ind w:left="360"/>
      </w:pPr>
      <w:r>
        <w:rPr>
          <w:rFonts w:ascii="Courier New" w:cs="Courier New" w:eastAsia="Courier New" w:hAnsi="Courier New"/>
          <w:color w:val="45C4B0"/>
          <w:sz w:val="18"/>
          <w:szCs w:val="18"/>
        </w:rPr>
        <w:t xml:space="preserve">  factor_alimentacion_pct: number;</w:t>
      </w:r>
    </w:p>
    <w:p>
      <w:pPr>
        <w:shd w:fill="1E2A3A" w:val="clear"/>
        <w:spacing w:after="80" w:before="80"/>
        <w:ind w:left="360"/>
      </w:pPr>
      <w:r>
        <w:rPr>
          <w:rFonts w:ascii="Courier New" w:cs="Courier New" w:eastAsia="Courier New" w:hAnsi="Courier New"/>
          <w:color w:val="45C4B0"/>
          <w:sz w:val="18"/>
          <w:szCs w:val="18"/>
        </w:rPr>
        <w:t xml:space="preserve">  tasa_crecimiento_diario_pct: number;</w:t>
      </w:r>
    </w:p>
    <w:p>
      <w:pPr>
        <w:shd w:fill="1E2A3A" w:val="clear"/>
        <w:spacing w:after="80" w:before="80"/>
        <w:ind w:left="360"/>
      </w:pPr>
      <w:r>
        <w:rPr>
          <w:rFonts w:ascii="Courier New" w:cs="Courier New" w:eastAsia="Courier New" w:hAnsi="Courier New"/>
          <w:color w:val="45C4B0"/>
          <w:sz w:val="18"/>
          <w:szCs w:val="18"/>
        </w:rPr>
        <w:t xml:space="preserve">}</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export function calcularLimiteAlimentacion(lote: LoteSnapshot): {</w:t>
      </w:r>
    </w:p>
    <w:p>
      <w:pPr>
        <w:shd w:fill="1E2A3A" w:val="clear"/>
        <w:spacing w:after="80" w:before="80"/>
        <w:ind w:left="360"/>
      </w:pPr>
      <w:r>
        <w:rPr>
          <w:rFonts w:ascii="Courier New" w:cs="Courier New" w:eastAsia="Courier New" w:hAnsi="Courier New"/>
          <w:color w:val="45C4B0"/>
          <w:sz w:val="18"/>
          <w:szCs w:val="18"/>
        </w:rPr>
        <w:t xml:space="preserve">  biomasa_estimada_kg: number;</w:t>
      </w:r>
    </w:p>
    <w:p>
      <w:pPr>
        <w:shd w:fill="1E2A3A" w:val="clear"/>
        <w:spacing w:after="80" w:before="80"/>
        <w:ind w:left="360"/>
      </w:pPr>
      <w:r>
        <w:rPr>
          <w:rFonts w:ascii="Courier New" w:cs="Courier New" w:eastAsia="Courier New" w:hAnsi="Courier New"/>
          <w:color w:val="45C4B0"/>
          <w:sz w:val="18"/>
          <w:szCs w:val="18"/>
        </w:rPr>
        <w:t xml:space="preserve">  limite_maximo_kg: number;</w:t>
      </w:r>
    </w:p>
    <w:p>
      <w:pPr>
        <w:shd w:fill="1E2A3A" w:val="clear"/>
        <w:spacing w:after="80" w:before="80"/>
        <w:ind w:left="360"/>
      </w:pPr>
      <w:r>
        <w:rPr>
          <w:rFonts w:ascii="Courier New" w:cs="Courier New" w:eastAsia="Courier New" w:hAnsi="Courier New"/>
          <w:color w:val="45C4B0"/>
          <w:sz w:val="18"/>
          <w:szCs w:val="18"/>
        </w:rPr>
        <w:t xml:space="preserve">  limite_alerta_kg: number;</w:t>
      </w:r>
    </w:p>
    <w:p>
      <w:pPr>
        <w:shd w:fill="1E2A3A" w:val="clear"/>
        <w:spacing w:after="80" w:before="80"/>
        <w:ind w:left="360"/>
      </w:pPr>
      <w:r>
        <w:rPr>
          <w:rFonts w:ascii="Courier New" w:cs="Courier New" w:eastAsia="Courier New" w:hAnsi="Courier New"/>
          <w:color w:val="45C4B0"/>
          <w:sz w:val="18"/>
          <w:szCs w:val="18"/>
        </w:rPr>
        <w:t xml:space="preserve">} {</w:t>
      </w:r>
    </w:p>
    <w:p>
      <w:pPr>
        <w:shd w:fill="1E2A3A" w:val="clear"/>
        <w:spacing w:after="80" w:before="80"/>
        <w:ind w:left="360"/>
      </w:pPr>
      <w:r>
        <w:rPr>
          <w:rFonts w:ascii="Courier New" w:cs="Courier New" w:eastAsia="Courier New" w:hAnsi="Courier New"/>
          <w:color w:val="45C4B0"/>
          <w:sz w:val="18"/>
          <w:szCs w:val="18"/>
        </w:rPr>
        <w:t xml:space="preserve">  const diasDesdeUltimoMuestreo = (Date.now() -</w:t>
      </w:r>
    </w:p>
    <w:p>
      <w:pPr>
        <w:shd w:fill="1E2A3A" w:val="clear"/>
        <w:spacing w:after="80" w:before="80"/>
        <w:ind w:left="360"/>
      </w:pPr>
      <w:r>
        <w:rPr>
          <w:rFonts w:ascii="Courier New" w:cs="Courier New" w:eastAsia="Courier New" w:hAnsi="Courier New"/>
          <w:color w:val="45C4B0"/>
          <w:sz w:val="18"/>
          <w:szCs w:val="18"/>
        </w:rPr>
        <w:t xml:space="preserve">    new Date(lote.fecha_ultimo_muestreo).getTime()) / 86400000;</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const pesoProyectado = lote.peso_promedio_actual_g *</w:t>
      </w:r>
    </w:p>
    <w:p>
      <w:pPr>
        <w:shd w:fill="1E2A3A" w:val="clear"/>
        <w:spacing w:after="80" w:before="80"/>
        <w:ind w:left="360"/>
      </w:pPr>
      <w:r>
        <w:rPr>
          <w:rFonts w:ascii="Courier New" w:cs="Courier New" w:eastAsia="Courier New" w:hAnsi="Courier New"/>
          <w:color w:val="45C4B0"/>
          <w:sz w:val="18"/>
          <w:szCs w:val="18"/>
        </w:rPr>
        <w:t xml:space="preserve">    Math.pow(1 + lote.tasa_crecimiento_diario_pct / 100, diasDesdeUltimoMuestreo);</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const biomasaKg = (pesoProyectado / 1000) * lote.numero_peces_vivos;</w:t>
      </w:r>
    </w:p>
    <w:p>
      <w:pPr>
        <w:shd w:fill="1E2A3A" w:val="clear"/>
        <w:spacing w:after="80" w:before="80"/>
        <w:ind w:left="360"/>
      </w:pPr>
      <w:r>
        <w:rPr>
          <w:rFonts w:ascii="Courier New" w:cs="Courier New" w:eastAsia="Courier New" w:hAnsi="Courier New"/>
          <w:color w:val="45C4B0"/>
          <w:sz w:val="18"/>
          <w:szCs w:val="18"/>
        </w:rPr>
        <w:t xml:space="preserve">  const limiteMaximo = biomasaKg * (lote.factor_alimentacion_pct / 100) * 1.5;</w:t>
      </w:r>
    </w:p>
    <w:p>
      <w:pPr>
        <w:shd w:fill="1E2A3A" w:val="clear"/>
        <w:spacing w:after="80" w:before="80"/>
        <w:ind w:left="360"/>
      </w:pPr>
      <w:r>
        <w:rPr>
          <w:rFonts w:ascii="Courier New" w:cs="Courier New" w:eastAsia="Courier New" w:hAnsi="Courier New"/>
          <w:color w:val="45C4B0"/>
          <w:sz w:val="18"/>
          <w:szCs w:val="18"/>
        </w:rPr>
        <w:t xml:space="preserve">  const limiteAlerta = biomasaKg * (lote.factor_alimentacion_pct / 100);</w:t>
      </w:r>
    </w:p>
    <w:p>
      <w:pPr>
        <w:shd w:fill="1E2A3A" w:val="clear"/>
        <w:spacing w:after="80" w:before="80"/>
        <w:ind w:left="360"/>
      </w:pPr>
      <w:r>
        <w:rPr>
          <w:rFonts w:ascii="Courier New" w:cs="Courier New" w:eastAsia="Courier New" w:hAnsi="Courier New"/>
          <w:color w:val="45C4B0"/>
          <w:sz w:val="18"/>
          <w:szCs w:val="18"/>
        </w:rPr>
        <w:t xml:space="preserve"/>
      </w:r>
    </w:p>
    <w:p>
      <w:pPr>
        <w:shd w:fill="1E2A3A" w:val="clear"/>
        <w:spacing w:after="80" w:before="80"/>
        <w:ind w:left="360"/>
      </w:pPr>
      <w:r>
        <w:rPr>
          <w:rFonts w:ascii="Courier New" w:cs="Courier New" w:eastAsia="Courier New" w:hAnsi="Courier New"/>
          <w:color w:val="45C4B0"/>
          <w:sz w:val="18"/>
          <w:szCs w:val="18"/>
        </w:rPr>
        <w:t xml:space="preserve">  return { biomasa_estimada_kg: biomasaKg, limite_maximo_kg: limiteMaximo,</w:t>
      </w:r>
    </w:p>
    <w:p>
      <w:pPr>
        <w:shd w:fill="1E2A3A" w:val="clear"/>
        <w:spacing w:after="80" w:before="80"/>
        <w:ind w:left="360"/>
      </w:pPr>
      <w:r>
        <w:rPr>
          <w:rFonts w:ascii="Courier New" w:cs="Courier New" w:eastAsia="Courier New" w:hAnsi="Courier New"/>
          <w:color w:val="45C4B0"/>
          <w:sz w:val="18"/>
          <w:szCs w:val="18"/>
        </w:rPr>
        <w:t xml:space="preserve">           limite_alerta_kg: limiteAlerta };</w:t>
      </w:r>
    </w:p>
    <w:p>
      <w:pPr>
        <w:shd w:fill="1E2A3A" w:val="clear"/>
        <w:spacing w:after="80" w:before="80"/>
        <w:ind w:left="360"/>
      </w:pPr>
      <w:r>
        <w:rPr>
          <w:rFonts w:ascii="Courier New" w:cs="Courier New" w:eastAsia="Courier New" w:hAnsi="Courier New"/>
          <w:color w:val="45C4B0"/>
          <w:sz w:val="18"/>
          <w:szCs w:val="18"/>
        </w:rPr>
        <w:t xml:space="preserve">}</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5. Actualización DDL — Tabla lote_cultivo</w:t>
      </w:r>
    </w:p>
    <w:p>
      <w:pPr>
        <w:spacing w:after="80" w:before="60"/>
      </w:pPr>
      <w:r>
        <w:rPr>
          <w:rFonts w:ascii="Inter" w:cs="Inter" w:eastAsia="Inter" w:hAnsi="Inter"/>
          <w:color w:val="334155"/>
          <w:sz w:val="22"/>
          <w:szCs w:val="22"/>
        </w:rPr>
        <w:t xml:space="preserve">Se adicionan las siguientes columnas a la tabla lote_cultivo en la base de datos central:</w:t>
      </w:r>
    </w:p>
    <w:p>
      <w:pPr>
        <w:shd w:fill="1E2A3A" w:val="clear"/>
        <w:spacing w:after="80" w:before="80"/>
        <w:ind w:left="360"/>
      </w:pPr>
      <w:r>
        <w:rPr>
          <w:rFonts w:ascii="Courier New" w:cs="Courier New" w:eastAsia="Courier New" w:hAnsi="Courier New"/>
          <w:color w:val="45C4B0"/>
          <w:sz w:val="18"/>
          <w:szCs w:val="18"/>
        </w:rPr>
        <w:t xml:space="preserve">ALTER TABLE lote_cultivo ADD COLUMN</w:t>
      </w:r>
    </w:p>
    <w:p>
      <w:pPr>
        <w:shd w:fill="1E2A3A" w:val="clear"/>
        <w:spacing w:after="80" w:before="80"/>
        <w:ind w:left="360"/>
      </w:pPr>
      <w:r>
        <w:rPr>
          <w:rFonts w:ascii="Courier New" w:cs="Courier New" w:eastAsia="Courier New" w:hAnsi="Courier New"/>
          <w:color w:val="45C4B0"/>
          <w:sz w:val="18"/>
          <w:szCs w:val="18"/>
        </w:rPr>
        <w:t xml:space="preserve">  peso_promedio_actual_g      DECIMAL(8,2)  DEFAULT 0.0,</w:t>
      </w:r>
    </w:p>
    <w:p>
      <w:pPr>
        <w:shd w:fill="1E2A3A" w:val="clear"/>
        <w:spacing w:after="80" w:before="80"/>
        <w:ind w:left="360"/>
      </w:pPr>
      <w:r>
        <w:rPr>
          <w:rFonts w:ascii="Courier New" w:cs="Courier New" w:eastAsia="Courier New" w:hAnsi="Courier New"/>
          <w:color w:val="45C4B0"/>
          <w:sz w:val="18"/>
          <w:szCs w:val="18"/>
        </w:rPr>
        <w:t xml:space="preserve">  fecha_ultimo_muestreo       TIMESTAMP     NULL,</w:t>
      </w:r>
    </w:p>
    <w:p>
      <w:pPr>
        <w:shd w:fill="1E2A3A" w:val="clear"/>
        <w:spacing w:after="80" w:before="80"/>
        <w:ind w:left="360"/>
      </w:pPr>
      <w:r>
        <w:rPr>
          <w:rFonts w:ascii="Courier New" w:cs="Courier New" w:eastAsia="Courier New" w:hAnsi="Courier New"/>
          <w:color w:val="45C4B0"/>
          <w:sz w:val="18"/>
          <w:szCs w:val="18"/>
        </w:rPr>
        <w:t xml:space="preserve">  factor_alimentacion_pct     DECIMAL(4,2)  NOT NULL DEFAULT 3.0</w:t>
      </w:r>
    </w:p>
    <w:p>
      <w:pPr>
        <w:shd w:fill="1E2A3A" w:val="clear"/>
        <w:spacing w:after="80" w:before="80"/>
        <w:ind w:left="360"/>
      </w:pPr>
      <w:r>
        <w:rPr>
          <w:rFonts w:ascii="Courier New" w:cs="Courier New" w:eastAsia="Courier New" w:hAnsi="Courier New"/>
          <w:color w:val="45C4B0"/>
          <w:sz w:val="18"/>
          <w:szCs w:val="18"/>
        </w:rPr>
        <w:t xml:space="preserve">    CHECK (factor_alimentacion_pct &gt; 0 AND factor_alimentacion_pct &lt;= 10),</w:t>
      </w:r>
    </w:p>
    <w:p>
      <w:pPr>
        <w:shd w:fill="1E2A3A" w:val="clear"/>
        <w:spacing w:after="80" w:before="80"/>
        <w:ind w:left="360"/>
      </w:pPr>
      <w:r>
        <w:rPr>
          <w:rFonts w:ascii="Courier New" w:cs="Courier New" w:eastAsia="Courier New" w:hAnsi="Courier New"/>
          <w:color w:val="45C4B0"/>
          <w:sz w:val="18"/>
          <w:szCs w:val="18"/>
        </w:rPr>
        <w:t xml:space="preserve">  tasa_crecimiento_diario_pct DECIMAL(5,3)  NOT NULL DEFAULT 0.9,</w:t>
      </w:r>
    </w:p>
    <w:p>
      <w:pPr>
        <w:shd w:fill="1E2A3A" w:val="clear"/>
        <w:spacing w:after="80" w:before="80"/>
        <w:ind w:left="360"/>
      </w:pPr>
      <w:r>
        <w:rPr>
          <w:rFonts w:ascii="Courier New" w:cs="Courier New" w:eastAsia="Courier New" w:hAnsi="Courier New"/>
          <w:color w:val="45C4B0"/>
          <w:sz w:val="18"/>
          <w:szCs w:val="18"/>
        </w:rPr>
        <w:t xml:space="preserve">  estadio_cultivo             VARCHAR(20)   NOT NULL DEFAULT 'Engorde'</w:t>
      </w:r>
    </w:p>
    <w:p>
      <w:pPr>
        <w:shd w:fill="1E2A3A" w:val="clear"/>
        <w:spacing w:after="80" w:before="80"/>
        <w:ind w:left="360"/>
      </w:pPr>
      <w:r>
        <w:rPr>
          <w:rFonts w:ascii="Courier New" w:cs="Courier New" w:eastAsia="Courier New" w:hAnsi="Courier New"/>
          <w:color w:val="45C4B0"/>
          <w:sz w:val="18"/>
          <w:szCs w:val="18"/>
        </w:rPr>
        <w:t xml:space="preserve">    CHECK (estadio_cultivo IN ('Siembra','Levante','Engorde','Pre-cosecha'));</w:t>
      </w:r>
    </w:p>
    <w:p>
      <w:pPr>
        <w:spacing w:after="120" w:before="120"/>
      </w:pPr>
      <w:r>
        <w:t xml:space="preserve"/>
      </w:r>
    </w:p>
    <w:p>
      <w:pPr>
        <w:pStyle w:val="Heading1"/>
        <w:pBdr>
          <w:bottom w:val="single" w:color="45C4B0" w:sz="8" w:space="4"/>
        </w:pBdr>
        <w:spacing w:after="160" w:before="360"/>
      </w:pPr>
      <w:r>
        <w:rPr>
          <w:rFonts w:ascii="Montserrat" w:cs="Montserrat" w:eastAsia="Montserrat" w:hAnsi="Montserrat"/>
          <w:b/>
          <w:bCs/>
          <w:color w:val="1A335C"/>
          <w:sz w:val="32"/>
          <w:szCs w:val="32"/>
        </w:rPr>
        <w:t xml:space="preserve">6. Criterios de Aceptación (QA)</w:t>
      </w:r>
    </w:p>
    <w:p>
      <w:pPr>
        <w:pStyle w:val="Heading3"/>
        <w:spacing w:after="80" w:before="200"/>
      </w:pPr>
      <w:r>
        <w:rPr>
          <w:rFonts w:ascii="Montserrat" w:cs="Montserrat" w:eastAsia="Montserrat" w:hAnsi="Montserrat"/>
          <w:b/>
          <w:bCs/>
          <w:color w:val="C29B57"/>
          <w:sz w:val="22"/>
          <w:szCs w:val="22"/>
        </w:rPr>
        <w:t xml:space="preserve">Prueba 1 — Cálculo Correcto de LMAx</w:t>
      </w:r>
    </w:p>
    <w:p>
      <w:pPr>
        <w:pStyle w:val="ListParagraph"/>
        <w:numPr>
          <w:ilvl w:val="0"/>
          <w:numId w:val="2"/>
        </w:numPr>
        <w:spacing w:after="40" w:before="40"/>
      </w:pPr>
      <w:r>
        <w:rPr>
          <w:rFonts w:ascii="Inter" w:cs="Inter" w:eastAsia="Inter" w:hAnsi="Inter"/>
          <w:b w:val="false"/>
          <w:bCs w:val="false"/>
          <w:color w:val="334155"/>
          <w:sz w:val="22"/>
          <w:szCs w:val="22"/>
        </w:rPr>
        <w:t xml:space="preserve">Configurar un lote de tilapia: 5,000 peces, 250g promedio, %BW = 3.0%</w:t>
      </w:r>
    </w:p>
    <w:p>
      <w:pPr>
        <w:pStyle w:val="ListParagraph"/>
        <w:numPr>
          <w:ilvl w:val="0"/>
          <w:numId w:val="2"/>
        </w:numPr>
        <w:spacing w:after="40" w:before="40"/>
      </w:pPr>
      <w:r>
        <w:rPr>
          <w:rFonts w:ascii="Inter" w:cs="Inter" w:eastAsia="Inter" w:hAnsi="Inter"/>
          <w:b w:val="false"/>
          <w:bCs w:val="false"/>
          <w:color w:val="334155"/>
          <w:sz w:val="22"/>
          <w:szCs w:val="22"/>
        </w:rPr>
        <w:t xml:space="preserve">BTe = 1,250 kg → LMAx = 37.5 kg/día; límite bloqueo = 56.25 kg</w:t>
      </w:r>
    </w:p>
    <w:p>
      <w:pPr>
        <w:pStyle w:val="ListParagraph"/>
        <w:numPr>
          <w:ilvl w:val="0"/>
          <w:numId w:val="2"/>
        </w:numPr>
        <w:spacing w:after="40" w:before="40"/>
      </w:pPr>
      <w:r>
        <w:rPr>
          <w:rFonts w:ascii="Inter" w:cs="Inter" w:eastAsia="Inter" w:hAnsi="Inter"/>
          <w:b w:val="false"/>
          <w:bCs w:val="false"/>
          <w:color w:val="334155"/>
          <w:sz w:val="22"/>
          <w:szCs w:val="22"/>
        </w:rPr>
        <w:t xml:space="preserve">Ingresar 40 kg → debe generar alerta amarilla</w:t>
      </w:r>
    </w:p>
    <w:p>
      <w:pPr>
        <w:pStyle w:val="ListParagraph"/>
        <w:numPr>
          <w:ilvl w:val="0"/>
          <w:numId w:val="2"/>
        </w:numPr>
        <w:spacing w:after="40" w:before="40"/>
      </w:pPr>
      <w:r>
        <w:rPr>
          <w:rFonts w:ascii="Inter" w:cs="Inter" w:eastAsia="Inter" w:hAnsi="Inter"/>
          <w:b w:val="false"/>
          <w:bCs w:val="false"/>
          <w:color w:val="334155"/>
          <w:sz w:val="22"/>
          <w:szCs w:val="22"/>
        </w:rPr>
        <w:t xml:space="preserve">Ingresar 60 kg → debe generar bloqueo rojo inmediato</w:t>
      </w:r>
    </w:p>
    <w:p>
      <w:pPr>
        <w:pStyle w:val="Heading3"/>
        <w:spacing w:after="80" w:before="200"/>
      </w:pPr>
      <w:r>
        <w:rPr>
          <w:rFonts w:ascii="Montserrat" w:cs="Montserrat" w:eastAsia="Montserrat" w:hAnsi="Montserrat"/>
          <w:b/>
          <w:bCs/>
          <w:color w:val="C29B57"/>
          <w:sz w:val="22"/>
          <w:szCs w:val="22"/>
        </w:rPr>
        <w:t xml:space="preserve">Prueba 2 — Multiración sin falso bloqueo</w:t>
      </w:r>
    </w:p>
    <w:p>
      <w:pPr>
        <w:pStyle w:val="ListParagraph"/>
        <w:numPr>
          <w:ilvl w:val="0"/>
          <w:numId w:val="2"/>
        </w:numPr>
        <w:spacing w:after="40" w:before="40"/>
      </w:pPr>
      <w:r>
        <w:rPr>
          <w:rFonts w:ascii="Inter" w:cs="Inter" w:eastAsia="Inter" w:hAnsi="Inter"/>
          <w:b w:val="false"/>
          <w:bCs w:val="false"/>
          <w:color w:val="334155"/>
          <w:sz w:val="22"/>
          <w:szCs w:val="22"/>
        </w:rPr>
        <w:t xml:space="preserve">Registrar 3 alimentaciones de 12 kg en el mismo día (total: 36 kg &lt; 37.5 kg LMAx)</w:t>
      </w:r>
    </w:p>
    <w:p>
      <w:pPr>
        <w:pStyle w:val="ListParagraph"/>
        <w:numPr>
          <w:ilvl w:val="0"/>
          <w:numId w:val="2"/>
        </w:numPr>
        <w:spacing w:after="40" w:before="40"/>
      </w:pPr>
      <w:r>
        <w:rPr>
          <w:rFonts w:ascii="Inter" w:cs="Inter" w:eastAsia="Inter" w:hAnsi="Inter"/>
          <w:b w:val="false"/>
          <w:bCs w:val="false"/>
          <w:color w:val="334155"/>
          <w:sz w:val="22"/>
          <w:szCs w:val="22"/>
        </w:rPr>
        <w:t xml:space="preserve">Las tres transacciones deben aprobarse sin bloqueo</w:t>
      </w:r>
    </w:p>
    <w:p>
      <w:pPr>
        <w:pStyle w:val="Heading3"/>
        <w:spacing w:after="80" w:before="200"/>
      </w:pPr>
      <w:r>
        <w:rPr>
          <w:rFonts w:ascii="Montserrat" w:cs="Montserrat" w:eastAsia="Montserrat" w:hAnsi="Montserrat"/>
          <w:b/>
          <w:bCs/>
          <w:color w:val="C29B57"/>
          <w:sz w:val="22"/>
          <w:szCs w:val="22"/>
        </w:rPr>
        <w:t xml:space="preserve">Prueba 3 — Degradación del Snapshot</w:t>
      </w:r>
    </w:p>
    <w:p>
      <w:pPr>
        <w:pStyle w:val="ListParagraph"/>
        <w:numPr>
          <w:ilvl w:val="0"/>
          <w:numId w:val="2"/>
        </w:numPr>
        <w:spacing w:after="40" w:before="40"/>
      </w:pPr>
      <w:r>
        <w:rPr>
          <w:rFonts w:ascii="Inter" w:cs="Inter" w:eastAsia="Inter" w:hAnsi="Inter"/>
          <w:b w:val="false"/>
          <w:bCs w:val="false"/>
          <w:color w:val="334155"/>
          <w:sz w:val="22"/>
          <w:szCs w:val="22"/>
        </w:rPr>
        <w:t xml:space="preserve">Si fecha_ultimo_muestreo &gt; 30 días, el sistema debe mostrar alerta: "Datos biométricos desactualizados. Realice un muestreo para mayor precisión."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29B57" w:sz="1"/>
              <w:left w:val="single" w:color="C29B57" w:sz="1"/>
              <w:bottom w:val="single" w:color="C29B57" w:sz="1"/>
              <w:right w:val="single" w:color="C29B57" w:sz="1"/>
            </w:tcBorders>
            <w:shd w:fill="C29B57" w:val="clear"/>
            <w:tcMar>
              <w:top w:type="dxa" w:w="80"/>
              <w:left w:type="dxa" w:w="120"/>
              <w:bottom w:type="dxa" w:w="80"/>
              <w:right w:type="dxa" w:w="120"/>
            </w:tcMar>
            <w:vAlign w:val="center"/>
          </w:tcPr>
          <w:p>
            <w:pPr>
              <w:jc w:val="center"/>
            </w:pPr>
            <w:r>
              <w:rPr>
                <w:rFonts w:ascii="Montserrat" w:cs="Montserrat" w:eastAsia="Montserrat" w:hAnsi="Montserrat"/>
                <w:b/>
                <w:bCs/>
                <w:color w:val="FFFFFF"/>
                <w:sz w:val="20"/>
                <w:szCs w:val="20"/>
              </w:rPr>
              <w:t xml:space="preserve">⚠ NOTA</w:t>
            </w:r>
          </w:p>
        </w:tc>
        <w:tc>
          <w:tcPr>
            <w:tcW w:type="dxa" w:w="7920"/>
            <w:tcBorders>
              <w:top w:val="single" w:color="C29B57" w:sz="1"/>
              <w:left w:val="single" w:color="C29B57" w:sz="1"/>
              <w:bottom w:val="single" w:color="C29B57" w:sz="1"/>
              <w:right w:val="single" w:color="C29B57" w:sz="1"/>
            </w:tcBorders>
            <w:tcMar>
              <w:top w:type="dxa" w:w="80"/>
              <w:left w:type="dxa" w:w="120"/>
              <w:bottom w:type="dxa" w:w="80"/>
              <w:right w:type="dxa" w:w="120"/>
            </w:tcMar>
          </w:tcPr>
          <w:p>
            <w:r>
              <w:rPr>
                <w:rFonts w:ascii="Inter" w:cs="Inter" w:eastAsia="Inter" w:hAnsi="Inter"/>
                <w:color w:val="334155"/>
                <w:sz w:val="20"/>
                <w:szCs w:val="20"/>
              </w:rPr>
              <w:t xml:space="preserve">Este documento debe distribuirse al equipo de Backend (para actualizar el endpoint /sync/snapshot) y al equipo Mobile (para implementar biomassEngine.ts antes del Sprint 1 de desarrollo).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35C" w:sz="4" w:space="1"/>
      </w:pBdr>
    </w:pPr>
    <w:r>
      <w:rPr>
        <w:rFonts w:ascii="Inter" w:cs="Inter" w:eastAsia="Inter" w:hAnsi="Inter"/>
        <w:color w:val="334155"/>
        <w:sz w:val="16"/>
        <w:szCs w:val="16"/>
      </w:rPr>
      <w:t xml:space="preserve">Aquashell — Documento de Arquitectura Técnica  ·  Confidencial  ·  Pág. </w:t>
    </w:r>
    <w:r>
      <w:rPr>
        <w:rFonts w:ascii="Inter" w:cs="Inter" w:eastAsia="Inter" w:hAnsi="Inter"/>
        <w:color w:val="1A33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5C4B0" w:sz="6" w:space="1"/>
      </w:pBdr>
      <w:tabs>
        <w:tab w:val="right" w:pos="9026"/>
      </w:tabs>
    </w:pPr>
    <w:r>
      <w:rPr>
        <w:rFonts w:ascii="Montserrat" w:cs="Montserrat" w:eastAsia="Montserrat" w:hAnsi="Montserrat"/>
        <w:b/>
        <w:bCs/>
        <w:color w:val="45C4B0"/>
        <w:sz w:val="18"/>
        <w:szCs w:val="18"/>
      </w:rPr>
      <w:t xml:space="preserve">AQUASHELL  ·  </w:t>
    </w:r>
    <w:r>
      <w:rPr>
        <w:rFonts w:ascii="Montserrat" w:cs="Montserrat" w:eastAsia="Montserrat" w:hAnsi="Montserrat"/>
        <w:b/>
        <w:bCs/>
        <w:color w:val="1A335C"/>
        <w:sz w:val="18"/>
        <w:szCs w:val="18"/>
      </w:rPr>
      <w:t xml:space="preserve">Motor de Biomasa Local</w:t>
    </w:r>
    <w:r>
      <w:rPr>
        <w:rFonts w:ascii="Inter" w:cs="Inter" w:eastAsia="Inter" w:hAnsi="Inter"/>
        <w:color w:val="C29B57"/>
        <w:sz w:val="16"/>
        <w:szCs w:val="16"/>
      </w:rPr>
      <w:t xml:space="preserve">	TDD-04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1A335C"/>
      <w:sz w:val="32"/>
      <w:szCs w:val="32"/>
    </w:rPr>
  </w:style>
  <w:style w:type="paragraph" w:styleId="Heading2">
    <w:name w:val="Heading 2"/>
    <w:basedOn w:val="Normal"/>
    <w:next w:val="Normal"/>
    <w:qFormat/>
    <w:pPr>
      <w:spacing w:after="120" w:before="280"/>
      <w:outlineLvl w:val="1"/>
    </w:pPr>
    <w:rPr>
      <w:rFonts w:ascii="Montserrat" w:cs="Montserrat" w:eastAsia="Montserrat" w:hAnsi="Montserrat"/>
      <w:b/>
      <w:bCs/>
      <w:color w:val="1A335C"/>
      <w:sz w:val="26"/>
      <w:szCs w:val="26"/>
    </w:rPr>
  </w:style>
  <w:style w:type="paragraph" w:styleId="Heading3">
    <w:name w:val="Heading 3"/>
    <w:basedOn w:val="Normal"/>
    <w:next w:val="Normal"/>
    <w:qFormat/>
    <w:pPr>
      <w:spacing w:after="80" w:before="200"/>
      <w:outlineLvl w:val="2"/>
    </w:pPr>
    <w:rPr>
      <w:rFonts w:ascii="Montserrat" w:cs="Montserrat" w:eastAsia="Montserrat" w:hAnsi="Montserrat"/>
      <w:b/>
      <w:bCs/>
      <w:color w:val="C29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2026-05-03T19:53:50.086Z</dcterms:created>
  <dcterms:modified xsi:type="dcterms:W3CDTF">2026-05-03T19:53:50.088Z</dcterms:modified>
</cp:coreProperties>
</file>

<file path=docProps/custom.xml><?xml version="1.0" encoding="utf-8"?>
<Properties xmlns="http://schemas.openxmlformats.org/officeDocument/2006/custom-properties" xmlns:vt="http://schemas.openxmlformats.org/officeDocument/2006/docPropsVTypes"/>
</file>