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ontserrat" w:cs="Montserrat" w:eastAsia="Montserrat" w:hAnsi="Montserrat"/>
          <w:b/>
          <w:bCs/>
          <w:color w:val="45C4B0"/>
          <w:sz w:val="72"/>
          <w:szCs w:val="72"/>
        </w:rPr>
        <w:t xml:space="preserve">TDD-06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1A335C"/>
          <w:sz w:val="44"/>
          <w:szCs w:val="44"/>
        </w:rPr>
        <w:t xml:space="preserve">Parámetros CTQ Ampliados</w:t>
      </w:r>
    </w:p>
    <w:p>
      <w:pPr>
        <w:spacing w:after="4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Versión 1.0  ·  2026-05-03  ·  Estado: </w:t>
      </w:r>
      <w:r>
        <w:rPr>
          <w:rFonts w:ascii="Montserrat" w:cs="Montserrat" w:eastAsia="Montserrat" w:hAnsi="Montserrat"/>
          <w:b/>
          <w:bCs/>
          <w:color w:val="45C4B0"/>
          <w:sz w:val="20"/>
          <w:szCs w:val="20"/>
        </w:rPr>
        <w:t xml:space="preserve">APROBADO</w:t>
      </w:r>
    </w:p>
    <w:p>
      <w:r>
        <w:br w:type="pag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1. Justificación Científica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TDD-01 implementó Hard Limits para OD, Temperatura y pH, que representan los parámetros de medición más frecuente. Sin embargo, el Amoníaco Total (TAN) y los Nitritos (NO₂⁻) son los agentes de mortalidad masiva más subestimados en acuicultura continental colombiana. Ambos son productos del ciclo del nitrógeno en sistemas cerrados de alta densidad y su acumulación es exponencial, no lineal.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La omisión de estos parámetros en el esquema SQL y en las validaciones locales representa una brecha de integridad científica que invalida la capacidad predictiva del observatorio nacional acuícola.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2. Tabla CTQ Completa — Todos los 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1800"/>
      </w:tblGrid>
      <w:tr>
        <w:trPr>
          <w:tblHeader/>
        </w:trP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Rango Óptimo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Alerta Amarilla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Alerta Roja Inf.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Alerta Roja Sup.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Mecanismo de Toxicidad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Temperatura (°C)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24–28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&lt;22 o &gt;30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&lt;15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&gt;35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Estrés metabólico, hipoxia por baja solubilidad O₂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Oxígeno Disuelto (mg/L)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5–8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&lt;4 o &gt;10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&lt;3 (Hipoxia)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&gt;12 (Supersaturation)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Asfixia aguda / embolia gaseosa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pH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6.5–8.5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&lt;6.0 o &gt;8.8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&lt;5.5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&gt;9.2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Daño epitelial branquial, conversión NH₄⁺ → NH₃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Amoníaco Total TAN (mg/L)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0–0.5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&gt;0.5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&gt;1.8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Destrucción branquial, neurotoxicidad sistémica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Nitritos NO₂⁻ (mg/L)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0–0.1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&gt;0.1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&gt;2.0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Metahemoglobinemia — sangre incapaz de transportar O₂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Alcalinidad (mg/L CaCO₃)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75–200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&lt;60 o &gt;250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&lt;40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&gt;300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Colapso del sistema buffer — fluctuaciones violentas de pH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Transparencia Secchi (cm)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30–60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&lt;25 o &gt;70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&lt;15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Bloom de algas o agua turbia — indicador de carga orgánica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Salinidad (ppt) — camarón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15–25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&lt;10 o &gt;30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&lt;5</w:t>
            </w:r>
          </w:p>
        </w:tc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&gt;40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Estrés osmorregulatório en especies eurihalinas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3. Actualización del Esquema DDL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3.1. Nuevas Columnas en registro_calidad_agua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ALTER TABLE registro_calidad_agua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amoniaco_total_mg_l    DECIMAL(6,3) NULL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(amoniaco_total_mg_l &gt;= 0 AND amoniaco_total_mg_l &lt;= 20),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nitritos_mg_l          DECIMAL(6,3) NULL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(nitritos_mg_l &gt;= 0 AND nitritos_mg_l &lt;= 20),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alcalinidad_mg_l_caco3 DECIMAL(7,2) NULL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(alcalinidad_mg_l_caco3 &gt;= 0 AND alcalinidad_mg_l_caco3 &lt;= 500),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transparencia_secchi_cm DECIMAL(5,1) NULL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(transparencia_secchi_cm &gt; 0 AND transparencia_secchi_cm &lt;= 400),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salinidad_ppt          DECIMAL(5,2) NULL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(salinidad_ppt &gt;= 0 AND salinidad_ppt &lt;= 50);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4. Lógica de Alertas Semafóricas en UI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4.1. Actualización de waterQualityRepository.ts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Nuevas validaciones en saveWaterQuality()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Amoníaco Total (TAN)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if (tan !== null)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if (tan &gt; 1.8)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throw new Error("⛔ CRÍTICO: TAN &gt; 1.8 mg/L. Riesgo de mortalidad masiva. Detenga la alimentación inmediatamente.");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if (tan &gt; 0.5)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emitWarning("⚠ TAN elevado (&gt; 0.5 mg/L). Reduzca la ración alimentaria y aumente el recambio de agua.");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Nitritos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if (no2 !== null)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if (no2 &gt; 2.0)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throw new Error("⛔ CRÍTICO: NO₂⁻ &gt; 2.0 mg/L. Metahemoglobinemia activa. Aplique sal (NaCl) de inmediato.");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if (no2 &gt; 0.1)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emitWarning("⚠ Nitritos detectados (&gt; 0.1 mg/L). Incremente aireación y realice recambio parcial del 20%.");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Validación mínima: al menos un parámetro primario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const primarios = [od, temp, tan, no2].filter(v =&gt; v !== null);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if (primarios.length === 0)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throw new Error("Debe ingresar al menos un parámetro primario (OD, Temperatura, TAN o NO₂⁻).");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5. Protocolo de Respuesta ante Alertas Críticas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Para el Operario (UI Móvil — Mensaje de pantalla completa)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9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2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Mensaje en Pantalla</w:t>
            </w:r>
          </w:p>
        </w:tc>
        <w:tc>
          <w:tcPr>
            <w:tcW w:type="dxa" w:w="2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Acción Inmediata Sugerida</w:t>
            </w:r>
          </w:p>
        </w:tc>
      </w:tr>
      <w:tr>
        <w:tc>
          <w:tcPr>
            <w:tcW w:type="dxa" w:w="16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TAN</w:t>
            </w:r>
          </w:p>
        </w:tc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 1.8 mg/L</w:t>
            </w:r>
          </w:p>
        </w:tc>
        <w:tc>
          <w:tcPr>
            <w:tcW w:type="dxa" w:w="2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ALERTA ROJA — Amoníaco crítico</w:t>
            </w:r>
          </w:p>
        </w:tc>
        <w:tc>
          <w:tcPr>
            <w:tcW w:type="dxa" w:w="2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Suspender alimentación. Aumentar caudal. Notificar Coordinador.</w:t>
            </w:r>
          </w:p>
        </w:tc>
      </w:tr>
      <w:tr>
        <w:tc>
          <w:tcPr>
            <w:tcW w:type="dxa" w:w="16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NO₂⁻</w:t>
            </w:r>
          </w:p>
        </w:tc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 2.0 mg/L</w:t>
            </w:r>
          </w:p>
        </w:tc>
        <w:tc>
          <w:tcPr>
            <w:tcW w:type="dxa" w:w="2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ALERTA ROJA — Nitritos letales</w:t>
            </w:r>
          </w:p>
        </w:tc>
        <w:tc>
          <w:tcPr>
            <w:tcW w:type="dxa" w:w="2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Aplicar sal (3–5 g/L). Recambio 30%. Notificar urgente.</w:t>
            </w:r>
          </w:p>
        </w:tc>
      </w:tr>
      <w:tr>
        <w:tc>
          <w:tcPr>
            <w:tcW w:type="dxa" w:w="16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OD</w:t>
            </w:r>
          </w:p>
        </w:tc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&lt; 3.0 mg/L</w:t>
            </w:r>
          </w:p>
        </w:tc>
        <w:tc>
          <w:tcPr>
            <w:tcW w:type="dxa" w:w="2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ALERTA ROJA — Hipoxia aguda</w:t>
            </w:r>
          </w:p>
        </w:tc>
        <w:tc>
          <w:tcPr>
            <w:tcW w:type="dxa" w:w="2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Activar aireación máxima. Suspender alimentación.</w:t>
            </w:r>
          </w:p>
        </w:tc>
      </w:tr>
      <w:tr>
        <w:tc>
          <w:tcPr>
            <w:tcW w:type="dxa" w:w="16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Temp</w:t>
            </w:r>
          </w:p>
        </w:tc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 32°C</w:t>
            </w:r>
          </w:p>
        </w:tc>
        <w:tc>
          <w:tcPr>
            <w:tcW w:type="dxa" w:w="2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ALERTA AMARILLA — Calor crítico</w:t>
            </w:r>
          </w:p>
        </w:tc>
        <w:tc>
          <w:tcPr>
            <w:tcW w:type="dxa" w:w="2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Aumentar recambio. Verificar sombreaderos.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5C4B0" w:sz="1"/>
              <w:left w:val="single" w:color="45C4B0" w:sz="1"/>
              <w:bottom w:val="single" w:color="45C4B0" w:sz="1"/>
              <w:right w:val="single" w:color="45C4B0" w:sz="1"/>
            </w:tcBorders>
            <w:shd w:fill="45C4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⚠ NOTA</w:t>
            </w:r>
          </w:p>
        </w:tc>
        <w:tc>
          <w:tcPr>
            <w:tcW w:type="dxa" w:w="7920"/>
            <w:tcBorders>
              <w:top w:val="single" w:color="45C4B0" w:sz="1"/>
              <w:left w:val="single" w:color="45C4B0" w:sz="1"/>
              <w:bottom w:val="single" w:color="45C4B0" w:sz="1"/>
              <w:right w:val="single" w:color="45C4B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Los parámetros TAN y NO₂⁻ requieren kits de colorimetría o sensores electroquímicos. El sistema debe hacer estos campos opcionales en el formulario, pero cuando se ingresan, las validaciones son obligatorias.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35C" w:sz="4" w:space="1"/>
      </w:pBdr>
    </w:pPr>
    <w:r>
      <w:rPr>
        <w:rFonts w:ascii="Inter" w:cs="Inter" w:eastAsia="Inter" w:hAnsi="Inter"/>
        <w:color w:val="334155"/>
        <w:sz w:val="16"/>
        <w:szCs w:val="16"/>
      </w:rPr>
      <w:t xml:space="preserve">Aquashell — Documento de Arquitectura Técnica  ·  Confidencial  ·  Pág. </w:t>
    </w:r>
    <w:r>
      <w:rPr>
        <w:rFonts w:ascii="Inter" w:cs="Inter" w:eastAsia="Inter" w:hAnsi="Inter"/>
        <w:color w:val="1A3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C4B0" w:sz="6" w:space="1"/>
      </w:pBdr>
      <w:tabs>
        <w:tab w:val="right" w:pos="9026"/>
      </w:tabs>
    </w:pPr>
    <w:r>
      <w:rPr>
        <w:rFonts w:ascii="Montserrat" w:cs="Montserrat" w:eastAsia="Montserrat" w:hAnsi="Montserrat"/>
        <w:b/>
        <w:bCs/>
        <w:color w:val="45C4B0"/>
        <w:sz w:val="18"/>
        <w:szCs w:val="18"/>
      </w:rPr>
      <w:t xml:space="preserve">AQUASHELL  ·  </w:t>
    </w:r>
    <w:r>
      <w:rPr>
        <w:rFonts w:ascii="Montserrat" w:cs="Montserrat" w:eastAsia="Montserrat" w:hAnsi="Montserrat"/>
        <w:b/>
        <w:bCs/>
        <w:color w:val="1A335C"/>
        <w:sz w:val="18"/>
        <w:szCs w:val="18"/>
      </w:rPr>
      <w:t xml:space="preserve">Parámetros CTQ Ampliados</w:t>
    </w:r>
    <w:r>
      <w:rPr>
        <w:rFonts w:ascii="Inter" w:cs="Inter" w:eastAsia="Inter" w:hAnsi="Inter"/>
        <w:color w:val="C29B57"/>
        <w:sz w:val="16"/>
        <w:szCs w:val="16"/>
      </w:rPr>
      <w:t xml:space="preserve">	TDD-06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ontserrat" w:cs="Montserrat" w:eastAsia="Montserrat" w:hAnsi="Montserrat"/>
      <w:b/>
      <w:bCs/>
      <w:color w:val="1A33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ontserrat" w:cs="Montserrat" w:eastAsia="Montserrat" w:hAnsi="Montserrat"/>
      <w:b/>
      <w:bCs/>
      <w:color w:val="1A33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C29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2026-05-03T19:53:50.329Z</dcterms:created>
  <dcterms:modified xsi:type="dcterms:W3CDTF">2026-05-03T19:53:50.329Z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