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Montserrat" w:cs="Montserrat" w:eastAsia="Montserrat" w:hAnsi="Montserrat"/>
          <w:b/>
          <w:bCs/>
          <w:color w:val="45C4B0"/>
          <w:sz w:val="72"/>
          <w:szCs w:val="72"/>
        </w:rPr>
        <w:t xml:space="preserve">TDD-07</w:t>
      </w:r>
    </w:p>
    <w:p>
      <w:pPr>
        <w:spacing w:after="80" w:before="0"/>
      </w:pPr>
      <w:r>
        <w:rPr>
          <w:rFonts w:ascii="Montserrat" w:cs="Montserrat" w:eastAsia="Montserrat" w:hAnsi="Montserrat"/>
          <w:b/>
          <w:bCs/>
          <w:color w:val="1A335C"/>
          <w:sz w:val="38"/>
          <w:szCs w:val="38"/>
        </w:rPr>
        <w:t xml:space="preserve">Política de Sesión JWT y Compliance Regulatorio</w:t>
      </w:r>
    </w:p>
    <w:p>
      <w:pPr>
        <w:spacing w:after="480" w:before="0"/>
      </w:pPr>
      <w:r>
        <w:rPr>
          <w:rFonts w:ascii="Inter" w:cs="Inter" w:eastAsia="Inter" w:hAnsi="Inter"/>
          <w:color w:val="334155"/>
          <w:sz w:val="20"/>
          <w:szCs w:val="20"/>
        </w:rPr>
        <w:t xml:space="preserve">Versión 1.0  ·  2026-05-03  ·  Estado: </w:t>
      </w:r>
      <w:r>
        <w:rPr>
          <w:rFonts w:ascii="Montserrat" w:cs="Montserrat" w:eastAsia="Montserrat" w:hAnsi="Montserrat"/>
          <w:b/>
          <w:bCs/>
          <w:color w:val="45C4B0"/>
          <w:sz w:val="20"/>
          <w:szCs w:val="20"/>
        </w:rPr>
        <w:t xml:space="preserve">APROBADO</w:t>
      </w:r>
    </w:p>
    <w:p>
      <w:r>
        <w:br w:type="pag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PARTE A — Política de Vigencia del Token JWT</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A.1. Análisis del Problema Actual</w:t>
      </w:r>
    </w:p>
    <w:p>
      <w:pPr>
        <w:spacing w:after="80" w:before="60"/>
      </w:pPr>
      <w:r>
        <w:rPr>
          <w:rFonts w:ascii="Inter" w:cs="Inter" w:eastAsia="Inter" w:hAnsi="Inter"/>
          <w:color w:val="334155"/>
          <w:sz w:val="22"/>
          <w:szCs w:val="22"/>
        </w:rPr>
        <w:t xml:space="preserve">El CU-AQUA-01 establece una vigencia máxima del token JWT de 14 horas para forzar la actualización diaria del inventario. Sin embargo, en operaciones con doble turno (turno diurno 6am-2pm + turno nocturno 8pm-4am), el token generado al inicio del turno nocturno podría expirar antes de que el operario complete la sincronización al finalizar su jornada, activando el error E3 (pérdida de contexto mid-turno).</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A.2. Solución: Token Escalonado con Silent Refresh</w:t>
      </w:r>
    </w:p>
    <w:p>
      <w:pPr>
        <w:spacing w:after="80" w:before="60"/>
      </w:pPr>
      <w:r>
        <w:rPr>
          <w:rFonts w:ascii="Inter" w:cs="Inter" w:eastAsia="Inter" w:hAnsi="Inter"/>
          <w:color w:val="334155"/>
          <w:sz w:val="22"/>
          <w:szCs w:val="22"/>
        </w:rPr>
        <w:t xml:space="preserve">Se propone un esquema de token dual que separa la autenticación de la autorización: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160"/>
        <w:gridCol w:w="3400"/>
      </w:tblGrid>
      <w:tr>
        <w:trPr>
          <w:tblHeader/>
        </w:trPr>
        <w:tc>
          <w:tcPr>
            <w:tcW w:type="dxa" w:w="20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Token</w:t>
            </w:r>
          </w:p>
        </w:tc>
        <w:tc>
          <w:tcPr>
            <w:tcW w:type="dxa" w:w="18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Vigencia</w:t>
            </w:r>
          </w:p>
        </w:tc>
        <w:tc>
          <w:tcPr>
            <w:tcW w:type="dxa" w:w="216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Almacenamiento</w:t>
            </w:r>
          </w:p>
        </w:tc>
        <w:tc>
          <w:tcPr>
            <w:tcW w:type="dxa" w:w="34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Función</w:t>
            </w:r>
          </w:p>
        </w:tc>
      </w:tr>
      <w:tr>
        <w:tc>
          <w:tcPr>
            <w:tcW w:type="dxa" w:w="2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Access Token (JWT)</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4 horas</w:t>
            </w:r>
          </w:p>
        </w:tc>
        <w:tc>
          <w:tcPr>
            <w:tcW w:type="dxa" w:w="2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Memoria RAM (no persiste)</w:t>
            </w:r>
          </w:p>
        </w:tc>
        <w:tc>
          <w:tcPr>
            <w:tcW w:type="dxa" w:w="3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Autoriza llamadas al API. Se renueva silenciosamente.</w:t>
            </w:r>
          </w:p>
        </w:tc>
      </w:tr>
      <w:tr>
        <w:tc>
          <w:tcPr>
            <w:tcW w:type="dxa" w:w="20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Refresh Token (opaco)</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18 horas</w:t>
            </w:r>
          </w:p>
        </w:tc>
        <w:tc>
          <w:tcPr>
            <w:tcW w:type="dxa" w:w="21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Secure Storage cifrado</w:t>
            </w:r>
          </w:p>
        </w:tc>
        <w:tc>
          <w:tcPr>
            <w:tcW w:type="dxa" w:w="3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Genera nuevos Access Tokens sin requerir credenciales.</w:t>
            </w:r>
          </w:p>
        </w:tc>
      </w:tr>
      <w:tr>
        <w:tc>
          <w:tcPr>
            <w:tcW w:type="dxa" w:w="2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Snapshot Token (hash)</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24 horas</w:t>
            </w:r>
          </w:p>
        </w:tc>
        <w:tc>
          <w:tcPr>
            <w:tcW w:type="dxa" w:w="2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SQLite local</w:t>
            </w:r>
          </w:p>
        </w:tc>
        <w:tc>
          <w:tcPr>
            <w:tcW w:type="dxa" w:w="3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Valida la vigencia del caché de datos descargado.</w:t>
            </w:r>
          </w:p>
        </w:tc>
      </w:tr>
    </w:tbl>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A.3. Flujo de Silent Refresh</w:t>
      </w:r>
    </w:p>
    <w:p>
      <w:pPr>
        <w:shd w:fill="1E2A3A" w:val="clear"/>
        <w:spacing w:after="80" w:before="80"/>
        <w:ind w:left="360"/>
      </w:pPr>
      <w:r>
        <w:rPr>
          <w:rFonts w:ascii="Courier New" w:cs="Courier New" w:eastAsia="Courier New" w:hAnsi="Courier New"/>
          <w:color w:val="45C4B0"/>
          <w:sz w:val="18"/>
          <w:szCs w:val="18"/>
        </w:rPr>
        <w:t xml:space="preserve">// snapshotService.ts — verificación previa a cada transacción</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async function ensureValidAccessToken(): Promise&lt;string&gt; {</w:t>
      </w:r>
    </w:p>
    <w:p>
      <w:pPr>
        <w:shd w:fill="1E2A3A" w:val="clear"/>
        <w:spacing w:after="80" w:before="80"/>
        <w:ind w:left="360"/>
      </w:pPr>
      <w:r>
        <w:rPr>
          <w:rFonts w:ascii="Courier New" w:cs="Courier New" w:eastAsia="Courier New" w:hAnsi="Courier New"/>
          <w:color w:val="45C4B0"/>
          <w:sz w:val="18"/>
          <w:szCs w:val="18"/>
        </w:rPr>
        <w:t xml:space="preserve">  const accessToken = await SecureStorage.get("access_token");</w:t>
      </w:r>
    </w:p>
    <w:p>
      <w:pPr>
        <w:shd w:fill="1E2A3A" w:val="clear"/>
        <w:spacing w:after="80" w:before="80"/>
        <w:ind w:left="360"/>
      </w:pPr>
      <w:r>
        <w:rPr>
          <w:rFonts w:ascii="Courier New" w:cs="Courier New" w:eastAsia="Courier New" w:hAnsi="Courier New"/>
          <w:color w:val="45C4B0"/>
          <w:sz w:val="18"/>
          <w:szCs w:val="18"/>
        </w:rPr>
        <w:t xml:space="preserve">  const exp = decodeJWT(accessToken).exp;</w:t>
      </w:r>
    </w:p>
    <w:p>
      <w:pPr>
        <w:shd w:fill="1E2A3A" w:val="clear"/>
        <w:spacing w:after="80" w:before="80"/>
        <w:ind w:left="360"/>
      </w:pPr>
      <w:r>
        <w:rPr>
          <w:rFonts w:ascii="Courier New" w:cs="Courier New" w:eastAsia="Courier New" w:hAnsi="Courier New"/>
          <w:color w:val="45C4B0"/>
          <w:sz w:val="18"/>
          <w:szCs w:val="18"/>
        </w:rPr>
        <w:t xml:space="preserve">  const now = Math.floor(Date.now() / 1000);</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  // Si el token expira en menos de 15 minutos, renovar silenciosamente</w:t>
      </w:r>
    </w:p>
    <w:p>
      <w:pPr>
        <w:shd w:fill="1E2A3A" w:val="clear"/>
        <w:spacing w:after="80" w:before="80"/>
        <w:ind w:left="360"/>
      </w:pPr>
      <w:r>
        <w:rPr>
          <w:rFonts w:ascii="Courier New" w:cs="Courier New" w:eastAsia="Courier New" w:hAnsi="Courier New"/>
          <w:color w:val="45C4B0"/>
          <w:sz w:val="18"/>
          <w:szCs w:val="18"/>
        </w:rPr>
        <w:t xml:space="preserve">  if (exp - now &lt; 900) {</w:t>
      </w:r>
    </w:p>
    <w:p>
      <w:pPr>
        <w:shd w:fill="1E2A3A" w:val="clear"/>
        <w:spacing w:after="80" w:before="80"/>
        <w:ind w:left="360"/>
      </w:pPr>
      <w:r>
        <w:rPr>
          <w:rFonts w:ascii="Courier New" w:cs="Courier New" w:eastAsia="Courier New" w:hAnsi="Courier New"/>
          <w:color w:val="45C4B0"/>
          <w:sz w:val="18"/>
          <w:szCs w:val="18"/>
        </w:rPr>
        <w:t xml:space="preserve">    const refreshToken = await SecureStorage.get("refresh_token");</w:t>
      </w:r>
    </w:p>
    <w:p>
      <w:pPr>
        <w:shd w:fill="1E2A3A" w:val="clear"/>
        <w:spacing w:after="80" w:before="80"/>
        <w:ind w:left="360"/>
      </w:pPr>
      <w:r>
        <w:rPr>
          <w:rFonts w:ascii="Courier New" w:cs="Courier New" w:eastAsia="Courier New" w:hAnsi="Courier New"/>
          <w:color w:val="45C4B0"/>
          <w:sz w:val="18"/>
          <w:szCs w:val="18"/>
        </w:rPr>
        <w:t xml:space="preserve">    if (!refreshToken) {</w:t>
      </w:r>
    </w:p>
    <w:p>
      <w:pPr>
        <w:shd w:fill="1E2A3A" w:val="clear"/>
        <w:spacing w:after="80" w:before="80"/>
        <w:ind w:left="360"/>
      </w:pPr>
      <w:r>
        <w:rPr>
          <w:rFonts w:ascii="Courier New" w:cs="Courier New" w:eastAsia="Courier New" w:hAnsi="Courier New"/>
          <w:color w:val="45C4B0"/>
          <w:sz w:val="18"/>
          <w:szCs w:val="18"/>
        </w:rPr>
        <w:t xml:space="preserve">      // No hay refresh token: exigir login (E3 del CU-01)</w:t>
      </w:r>
    </w:p>
    <w:p>
      <w:pPr>
        <w:shd w:fill="1E2A3A" w:val="clear"/>
        <w:spacing w:after="80" w:before="80"/>
        <w:ind w:left="360"/>
      </w:pPr>
      <w:r>
        <w:rPr>
          <w:rFonts w:ascii="Courier New" w:cs="Courier New" w:eastAsia="Courier New" w:hAnsi="Courier New"/>
          <w:color w:val="45C4B0"/>
          <w:sz w:val="18"/>
          <w:szCs w:val="18"/>
        </w:rPr>
        <w:t xml:space="preserve">      throw new Error("SESSION_EXPIRED");</w:t>
      </w:r>
    </w:p>
    <w:p>
      <w:pPr>
        <w:shd w:fill="1E2A3A" w:val="clear"/>
        <w:spacing w:after="80" w:before="80"/>
        <w:ind w:left="360"/>
      </w:pPr>
      <w:r>
        <w:rPr>
          <w:rFonts w:ascii="Courier New" w:cs="Courier New" w:eastAsia="Courier New" w:hAnsi="Courier New"/>
          <w:color w:val="45C4B0"/>
          <w:sz w:val="18"/>
          <w:szCs w:val="18"/>
        </w:rPr>
        <w:t xml:space="preserve">    }</w:t>
      </w:r>
    </w:p>
    <w:p>
      <w:pPr>
        <w:shd w:fill="1E2A3A" w:val="clear"/>
        <w:spacing w:after="80" w:before="80"/>
        <w:ind w:left="360"/>
      </w:pPr>
      <w:r>
        <w:rPr>
          <w:rFonts w:ascii="Courier New" w:cs="Courier New" w:eastAsia="Courier New" w:hAnsi="Courier New"/>
          <w:color w:val="45C4B0"/>
          <w:sz w:val="18"/>
          <w:szCs w:val="18"/>
        </w:rPr>
        <w:t xml:space="preserve">    // Si hay red: renovar</w:t>
      </w:r>
    </w:p>
    <w:p>
      <w:pPr>
        <w:shd w:fill="1E2A3A" w:val="clear"/>
        <w:spacing w:after="80" w:before="80"/>
        <w:ind w:left="360"/>
      </w:pPr>
      <w:r>
        <w:rPr>
          <w:rFonts w:ascii="Courier New" w:cs="Courier New" w:eastAsia="Courier New" w:hAnsi="Courier New"/>
          <w:color w:val="45C4B0"/>
          <w:sz w:val="18"/>
          <w:szCs w:val="18"/>
        </w:rPr>
        <w:t xml:space="preserve">    if (await NetworkStatus.isConnected()) {</w:t>
      </w:r>
    </w:p>
    <w:p>
      <w:pPr>
        <w:shd w:fill="1E2A3A" w:val="clear"/>
        <w:spacing w:after="80" w:before="80"/>
        <w:ind w:left="360"/>
      </w:pPr>
      <w:r>
        <w:rPr>
          <w:rFonts w:ascii="Courier New" w:cs="Courier New" w:eastAsia="Courier New" w:hAnsi="Courier New"/>
          <w:color w:val="45C4B0"/>
          <w:sz w:val="18"/>
          <w:szCs w:val="18"/>
        </w:rPr>
        <w:t xml:space="preserve">      const newTokens = await AuthAPI.refresh(refreshToken);</w:t>
      </w:r>
    </w:p>
    <w:p>
      <w:pPr>
        <w:shd w:fill="1E2A3A" w:val="clear"/>
        <w:spacing w:after="80" w:before="80"/>
        <w:ind w:left="360"/>
      </w:pPr>
      <w:r>
        <w:rPr>
          <w:rFonts w:ascii="Courier New" w:cs="Courier New" w:eastAsia="Courier New" w:hAnsi="Courier New"/>
          <w:color w:val="45C4B0"/>
          <w:sz w:val="18"/>
          <w:szCs w:val="18"/>
        </w:rPr>
        <w:t xml:space="preserve">      await SecureStorage.set("access_token", newTokens.access_token);</w:t>
      </w:r>
    </w:p>
    <w:p>
      <w:pPr>
        <w:shd w:fill="1E2A3A" w:val="clear"/>
        <w:spacing w:after="80" w:before="80"/>
        <w:ind w:left="360"/>
      </w:pPr>
      <w:r>
        <w:rPr>
          <w:rFonts w:ascii="Courier New" w:cs="Courier New" w:eastAsia="Courier New" w:hAnsi="Courier New"/>
          <w:color w:val="45C4B0"/>
          <w:sz w:val="18"/>
          <w:szCs w:val="18"/>
        </w:rPr>
        <w:t xml:space="preserve">      return newTokens.access_token;</w:t>
      </w:r>
    </w:p>
    <w:p>
      <w:pPr>
        <w:shd w:fill="1E2A3A" w:val="clear"/>
        <w:spacing w:after="80" w:before="80"/>
        <w:ind w:left="360"/>
      </w:pPr>
      <w:r>
        <w:rPr>
          <w:rFonts w:ascii="Courier New" w:cs="Courier New" w:eastAsia="Courier New" w:hAnsi="Courier New"/>
          <w:color w:val="45C4B0"/>
          <w:sz w:val="18"/>
          <w:szCs w:val="18"/>
        </w:rPr>
        <w:t xml:space="preserve">    }</w:t>
      </w:r>
    </w:p>
    <w:p>
      <w:pPr>
        <w:shd w:fill="1E2A3A" w:val="clear"/>
        <w:spacing w:after="80" w:before="80"/>
        <w:ind w:left="360"/>
      </w:pPr>
      <w:r>
        <w:rPr>
          <w:rFonts w:ascii="Courier New" w:cs="Courier New" w:eastAsia="Courier New" w:hAnsi="Courier New"/>
          <w:color w:val="45C4B0"/>
          <w:sz w:val="18"/>
          <w:szCs w:val="18"/>
        </w:rPr>
        <w:t xml:space="preserve">    // Sin red: continuar con token actual si quedan &gt; 0 segundos</w:t>
      </w:r>
    </w:p>
    <w:p>
      <w:pPr>
        <w:shd w:fill="1E2A3A" w:val="clear"/>
        <w:spacing w:after="80" w:before="80"/>
        <w:ind w:left="360"/>
      </w:pPr>
      <w:r>
        <w:rPr>
          <w:rFonts w:ascii="Courier New" w:cs="Courier New" w:eastAsia="Courier New" w:hAnsi="Courier New"/>
          <w:color w:val="45C4B0"/>
          <w:sz w:val="18"/>
          <w:szCs w:val="18"/>
        </w:rPr>
        <w:t xml:space="preserve">    if (exp &gt; now) return accessToken; // Operar offline con token vigente</w:t>
      </w:r>
    </w:p>
    <w:p>
      <w:pPr>
        <w:shd w:fill="1E2A3A" w:val="clear"/>
        <w:spacing w:after="80" w:before="80"/>
        <w:ind w:left="360"/>
      </w:pPr>
      <w:r>
        <w:rPr>
          <w:rFonts w:ascii="Courier New" w:cs="Courier New" w:eastAsia="Courier New" w:hAnsi="Courier New"/>
          <w:color w:val="45C4B0"/>
          <w:sz w:val="18"/>
          <w:szCs w:val="18"/>
        </w:rPr>
        <w:t xml:space="preserve">    throw new Error("SESSION_EXPIRED_OFFLINE");</w:t>
      </w:r>
    </w:p>
    <w:p>
      <w:pPr>
        <w:shd w:fill="1E2A3A" w:val="clear"/>
        <w:spacing w:after="80" w:before="80"/>
        <w:ind w:left="360"/>
      </w:pPr>
      <w:r>
        <w:rPr>
          <w:rFonts w:ascii="Courier New" w:cs="Courier New" w:eastAsia="Courier New" w:hAnsi="Courier New"/>
          <w:color w:val="45C4B0"/>
          <w:sz w:val="18"/>
          <w:szCs w:val="18"/>
        </w:rPr>
        <w:t xml:space="preserve">  }</w:t>
      </w:r>
    </w:p>
    <w:p>
      <w:pPr>
        <w:shd w:fill="1E2A3A" w:val="clear"/>
        <w:spacing w:after="80" w:before="80"/>
        <w:ind w:left="360"/>
      </w:pPr>
      <w:r>
        <w:rPr>
          <w:rFonts w:ascii="Courier New" w:cs="Courier New" w:eastAsia="Courier New" w:hAnsi="Courier New"/>
          <w:color w:val="45C4B0"/>
          <w:sz w:val="18"/>
          <w:szCs w:val="18"/>
        </w:rPr>
        <w:t xml:space="preserve">  return accessToken;</w:t>
      </w:r>
    </w:p>
    <w:p>
      <w:pPr>
        <w:shd w:fill="1E2A3A" w:val="clear"/>
        <w:spacing w:after="80" w:before="80"/>
        <w:ind w:left="360"/>
      </w:pPr>
      <w:r>
        <w:rPr>
          <w:rFonts w:ascii="Courier New" w:cs="Courier New" w:eastAsia="Courier New" w:hAnsi="Courier New"/>
          <w:color w:val="45C4B0"/>
          <w:sz w:val="18"/>
          <w:szCs w:val="18"/>
        </w:rPr>
        <w:t xml:space="preserve">}</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A.4. Regla de Negocio Actualizada (Reemplaza la del CU-AQUA-01)</w:t>
      </w:r>
    </w:p>
    <w:p>
      <w:pPr>
        <w:pStyle w:val="ListParagraph"/>
        <w:numPr>
          <w:ilvl w:val="0"/>
          <w:numId w:val="2"/>
        </w:numPr>
        <w:spacing w:after="40" w:before="40"/>
      </w:pPr>
      <w:r>
        <w:rPr>
          <w:rFonts w:ascii="Inter" w:cs="Inter" w:eastAsia="Inter" w:hAnsi="Inter"/>
          <w:b/>
          <w:bCs/>
          <w:color w:val="334155"/>
          <w:sz w:val="22"/>
          <w:szCs w:val="22"/>
        </w:rPr>
        <w:t xml:space="preserve">El Access Token tiene vigencia de 4 horas, renovable automáticamente con Refresh Token.</w:t>
      </w:r>
    </w:p>
    <w:p>
      <w:pPr>
        <w:pStyle w:val="ListParagraph"/>
        <w:numPr>
          <w:ilvl w:val="0"/>
          <w:numId w:val="2"/>
        </w:numPr>
        <w:spacing w:after="40" w:before="40"/>
      </w:pPr>
      <w:r>
        <w:rPr>
          <w:rFonts w:ascii="Inter" w:cs="Inter" w:eastAsia="Inter" w:hAnsi="Inter"/>
          <w:b w:val="false"/>
          <w:bCs w:val="false"/>
          <w:color w:val="334155"/>
          <w:sz w:val="22"/>
          <w:szCs w:val="22"/>
        </w:rPr>
        <w:t xml:space="preserve">El Refresh Token tiene vigencia de 18 horas (cubre turno extendido de 12h + margen de sincronización).</w:t>
      </w:r>
    </w:p>
    <w:p>
      <w:pPr>
        <w:pStyle w:val="ListParagraph"/>
        <w:numPr>
          <w:ilvl w:val="0"/>
          <w:numId w:val="2"/>
        </w:numPr>
        <w:spacing w:after="40" w:before="40"/>
      </w:pPr>
      <w:r>
        <w:rPr>
          <w:rFonts w:ascii="Inter" w:cs="Inter" w:eastAsia="Inter" w:hAnsi="Inter"/>
          <w:b w:val="false"/>
          <w:bCs w:val="false"/>
          <w:color w:val="334155"/>
          <w:sz w:val="22"/>
          <w:szCs w:val="22"/>
        </w:rPr>
        <w:t xml:space="preserve">El Snapshot de datos tiene vigencia de 24 horas. Tras ese período, las operaciones de solo lectura continúan pero las transacciones de escritura exigen reconexión y nueva sincronización.</w:t>
      </w:r>
    </w:p>
    <w:p>
      <w:pPr>
        <w:pStyle w:val="ListParagraph"/>
        <w:numPr>
          <w:ilvl w:val="0"/>
          <w:numId w:val="2"/>
        </w:numPr>
        <w:spacing w:after="40" w:before="40"/>
      </w:pPr>
      <w:r>
        <w:rPr>
          <w:rFonts w:ascii="Inter" w:cs="Inter" w:eastAsia="Inter" w:hAnsi="Inter"/>
          <w:b w:val="false"/>
          <w:bCs w:val="false"/>
          <w:color w:val="334155"/>
          <w:sz w:val="22"/>
          <w:szCs w:val="22"/>
        </w:rPr>
        <w:t xml:space="preserve">Los datos en cola (SQLite pending) se preservan siempre, independientemente del estado del token.</w:t>
      </w:r>
    </w:p>
    <w:p>
      <w:pPr>
        <w:spacing w:after="120" w:before="120"/>
      </w:pPr>
      <w:r>
        <w:t xml:space="preserve"/>
      </w:r>
    </w:p>
    <w:p>
      <w:r>
        <w:br w:type="pag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PARTE B — Módulo de Trazabilidad de Insumos Sanitarios (Compliance ICA)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Montserrat" w:cs="Montserrat" w:eastAsia="Montserrat" w:hAnsi="Montserrat"/>
                <w:b/>
                <w:bCs/>
                <w:color w:val="FFFFFF"/>
                <w:sz w:val="20"/>
                <w:szCs w:val="20"/>
              </w:rPr>
              <w:t xml:space="preserve">⚖ NORMATIVA</w:t>
            </w:r>
          </w:p>
        </w:tc>
        <w:tc>
          <w:tcPr>
            <w:tcW w:type="dxa" w:w="7920"/>
            <w:tcBorders>
              <w:top w:val="single" w:color="C0392B" w:sz="1"/>
              <w:left w:val="single" w:color="C0392B" w:sz="1"/>
              <w:bottom w:val="single" w:color="C0392B" w:sz="1"/>
              <w:right w:val="single" w:color="C0392B" w:sz="1"/>
            </w:tcBorders>
            <w:tcMar>
              <w:top w:type="dxa" w:w="80"/>
              <w:left w:type="dxa" w:w="120"/>
              <w:bottom w:type="dxa" w:w="80"/>
              <w:right w:type="dxa" w:w="120"/>
            </w:tcMar>
          </w:tcPr>
          <w:p>
            <w:r>
              <w:rPr>
                <w:rFonts w:ascii="Inter" w:cs="Inter" w:eastAsia="Inter" w:hAnsi="Inter"/>
                <w:color w:val="334155"/>
                <w:sz w:val="20"/>
                <w:szCs w:val="20"/>
              </w:rPr>
              <w:t xml:space="preserve">La Resolución ICA 000373 de 2025 y el Decreto 1185 de 2020 exigen que toda UPA acuícola colombiana registrada mantenga trazabilidad de medicamentos veterinarios y productos de uso en acuicultura aplicados sobre los lotes. La omisión de este módulo representa un riesgo de sanción regulatoria para el cliente.</w:t>
            </w:r>
          </w:p>
        </w:tc>
      </w:tr>
    </w:tbl>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B.1. Alcance del Módulo (No-objetivo reclasificado a Obligatorio)</w:t>
      </w:r>
    </w:p>
    <w:p>
      <w:pPr>
        <w:spacing w:after="80" w:before="60"/>
      </w:pPr>
      <w:r>
        <w:rPr>
          <w:rFonts w:ascii="Inter" w:cs="Inter" w:eastAsia="Inter" w:hAnsi="Inter"/>
          <w:color w:val="334155"/>
          <w:sz w:val="22"/>
          <w:szCs w:val="22"/>
        </w:rPr>
        <w:t xml:space="preserve">El PCD original clasificó el registro de insumos sanitarios fuera del alcance del MVP. Este documento lo reclasifica como obligatorio por compliance regulatorio, aunque con un alcance mínimo viable que no incremente la carga cognitiva del operario.</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B.2. Entidades DDL Nuevas</w:t>
      </w:r>
    </w:p>
    <w:p>
      <w:pPr>
        <w:shd w:fill="1E2A3A" w:val="clear"/>
        <w:spacing w:after="80" w:before="80"/>
        <w:ind w:left="360"/>
      </w:pPr>
      <w:r>
        <w:rPr>
          <w:rFonts w:ascii="Courier New" w:cs="Courier New" w:eastAsia="Courier New" w:hAnsi="Courier New"/>
          <w:color w:val="45C4B0"/>
          <w:sz w:val="18"/>
          <w:szCs w:val="18"/>
        </w:rPr>
        <w:t xml:space="preserve">CREATE TABLE insumo_sanitario (</w:t>
      </w:r>
    </w:p>
    <w:p>
      <w:pPr>
        <w:shd w:fill="1E2A3A" w:val="clear"/>
        <w:spacing w:after="80" w:before="80"/>
        <w:ind w:left="360"/>
      </w:pPr>
      <w:r>
        <w:rPr>
          <w:rFonts w:ascii="Courier New" w:cs="Courier New" w:eastAsia="Courier New" w:hAnsi="Courier New"/>
          <w:color w:val="45C4B0"/>
          <w:sz w:val="18"/>
          <w:szCs w:val="18"/>
        </w:rPr>
        <w:t xml:space="preserve">  id_insumo       UUID PRIMARY KEY DEFAULT gen_random_uuid(),</w:t>
      </w:r>
    </w:p>
    <w:p>
      <w:pPr>
        <w:shd w:fill="1E2A3A" w:val="clear"/>
        <w:spacing w:after="80" w:before="80"/>
        <w:ind w:left="360"/>
      </w:pPr>
      <w:r>
        <w:rPr>
          <w:rFonts w:ascii="Courier New" w:cs="Courier New" w:eastAsia="Courier New" w:hAnsi="Courier New"/>
          <w:color w:val="45C4B0"/>
          <w:sz w:val="18"/>
          <w:szCs w:val="18"/>
        </w:rPr>
        <w:t xml:space="preserve">  id_tenant       UUID REFERENCES tenant(id_tenant) ON DELETE CASCADE,</w:t>
      </w:r>
    </w:p>
    <w:p>
      <w:pPr>
        <w:shd w:fill="1E2A3A" w:val="clear"/>
        <w:spacing w:after="80" w:before="80"/>
        <w:ind w:left="360"/>
      </w:pPr>
      <w:r>
        <w:rPr>
          <w:rFonts w:ascii="Courier New" w:cs="Courier New" w:eastAsia="Courier New" w:hAnsi="Courier New"/>
          <w:color w:val="45C4B0"/>
          <w:sz w:val="18"/>
          <w:szCs w:val="18"/>
        </w:rPr>
        <w:t xml:space="preserve">  nombre_producto VARCHAR(200) NOT NULL,</w:t>
      </w:r>
    </w:p>
    <w:p>
      <w:pPr>
        <w:shd w:fill="1E2A3A" w:val="clear"/>
        <w:spacing w:after="80" w:before="80"/>
        <w:ind w:left="360"/>
      </w:pPr>
      <w:r>
        <w:rPr>
          <w:rFonts w:ascii="Courier New" w:cs="Courier New" w:eastAsia="Courier New" w:hAnsi="Courier New"/>
          <w:color w:val="45C4B0"/>
          <w:sz w:val="18"/>
          <w:szCs w:val="18"/>
        </w:rPr>
        <w:t xml:space="preserve">  principio_activo VARCHAR(150) NOT NULL,</w:t>
      </w:r>
    </w:p>
    <w:p>
      <w:pPr>
        <w:shd w:fill="1E2A3A" w:val="clear"/>
        <w:spacing w:after="80" w:before="80"/>
        <w:ind w:left="360"/>
      </w:pPr>
      <w:r>
        <w:rPr>
          <w:rFonts w:ascii="Courier New" w:cs="Courier New" w:eastAsia="Courier New" w:hAnsi="Courier New"/>
          <w:color w:val="45C4B0"/>
          <w:sz w:val="18"/>
          <w:szCs w:val="18"/>
        </w:rPr>
        <w:t xml:space="preserve">  registro_ica    VARCHAR(50) NULL,    -- Número de registro ICA</w:t>
      </w:r>
    </w:p>
    <w:p>
      <w:pPr>
        <w:shd w:fill="1E2A3A" w:val="clear"/>
        <w:spacing w:after="80" w:before="80"/>
        <w:ind w:left="360"/>
      </w:pPr>
      <w:r>
        <w:rPr>
          <w:rFonts w:ascii="Courier New" w:cs="Courier New" w:eastAsia="Courier New" w:hAnsi="Courier New"/>
          <w:color w:val="45C4B0"/>
          <w:sz w:val="18"/>
          <w:szCs w:val="18"/>
        </w:rPr>
        <w:t xml:space="preserve">  tipo_insumo     VARCHAR(50) NOT NULL -- Medicamento, Sal, Cal, Probiótico, etc.</w:t>
      </w:r>
    </w:p>
    <w:p>
      <w:pPr>
        <w:shd w:fill="1E2A3A" w:val="clear"/>
        <w:spacing w:after="80" w:before="80"/>
        <w:ind w:left="360"/>
      </w:pPr>
      <w:r>
        <w:rPr>
          <w:rFonts w:ascii="Courier New" w:cs="Courier New" w:eastAsia="Courier New" w:hAnsi="Courier New"/>
          <w:color w:val="45C4B0"/>
          <w:sz w:val="18"/>
          <w:szCs w:val="18"/>
        </w:rPr>
        <w:t xml:space="preserve">    CHECK (tipo_insumo IN ('Medicamento','Sal','Cal','Probiótico',</w:t>
      </w:r>
    </w:p>
    <w:p>
      <w:pPr>
        <w:shd w:fill="1E2A3A" w:val="clear"/>
        <w:spacing w:after="80" w:before="80"/>
        <w:ind w:left="360"/>
      </w:pPr>
      <w:r>
        <w:rPr>
          <w:rFonts w:ascii="Courier New" w:cs="Courier New" w:eastAsia="Courier New" w:hAnsi="Courier New"/>
          <w:color w:val="45C4B0"/>
          <w:sz w:val="18"/>
          <w:szCs w:val="18"/>
        </w:rPr>
        <w:t xml:space="preserve">                          'Desinfectante','Fertilizante','Otro')),</w:t>
      </w:r>
    </w:p>
    <w:p>
      <w:pPr>
        <w:shd w:fill="1E2A3A" w:val="clear"/>
        <w:spacing w:after="80" w:before="80"/>
        <w:ind w:left="360"/>
      </w:pPr>
      <w:r>
        <w:rPr>
          <w:rFonts w:ascii="Courier New" w:cs="Courier New" w:eastAsia="Courier New" w:hAnsi="Courier New"/>
          <w:color w:val="45C4B0"/>
          <w:sz w:val="18"/>
          <w:szCs w:val="18"/>
        </w:rPr>
        <w:t xml:space="preserve">  unidad_medida   VARCHAR(20) NOT NULL, -- kg, L, g</w:t>
      </w:r>
    </w:p>
    <w:p>
      <w:pPr>
        <w:shd w:fill="1E2A3A" w:val="clear"/>
        <w:spacing w:after="80" w:before="80"/>
        <w:ind w:left="360"/>
      </w:pPr>
      <w:r>
        <w:rPr>
          <w:rFonts w:ascii="Courier New" w:cs="Courier New" w:eastAsia="Courier New" w:hAnsi="Courier New"/>
          <w:color w:val="45C4B0"/>
          <w:sz w:val="18"/>
          <w:szCs w:val="18"/>
        </w:rPr>
        <w:t xml:space="preserve">  periodo_retiro_dias INT DEFAULT 0     -- Días de retiro previos a cosecha</w:t>
      </w:r>
    </w:p>
    <w:p>
      <w:pPr>
        <w:shd w:fill="1E2A3A" w:val="clear"/>
        <w:spacing w:after="80" w:before="80"/>
        <w:ind w:left="360"/>
      </w:pPr>
      <w:r>
        <w:rPr>
          <w:rFonts w:ascii="Courier New" w:cs="Courier New" w:eastAsia="Courier New" w:hAnsi="Courier New"/>
          <w:color w:val="45C4B0"/>
          <w:sz w:val="18"/>
          <w:szCs w:val="18"/>
        </w:rPr>
        <w:t xml:space="preserve">);</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CREATE TABLE registro_aplicacion_insumo (</w:t>
      </w:r>
    </w:p>
    <w:p>
      <w:pPr>
        <w:shd w:fill="1E2A3A" w:val="clear"/>
        <w:spacing w:after="80" w:before="80"/>
        <w:ind w:left="360"/>
      </w:pPr>
      <w:r>
        <w:rPr>
          <w:rFonts w:ascii="Courier New" w:cs="Courier New" w:eastAsia="Courier New" w:hAnsi="Courier New"/>
          <w:color w:val="45C4B0"/>
          <w:sz w:val="18"/>
          <w:szCs w:val="18"/>
        </w:rPr>
        <w:t xml:space="preserve">  id_aplicacion   UUID PRIMARY KEY DEFAULT gen_random_uuid(),</w:t>
      </w:r>
    </w:p>
    <w:p>
      <w:pPr>
        <w:shd w:fill="1E2A3A" w:val="clear"/>
        <w:spacing w:after="80" w:before="80"/>
        <w:ind w:left="360"/>
      </w:pPr>
      <w:r>
        <w:rPr>
          <w:rFonts w:ascii="Courier New" w:cs="Courier New" w:eastAsia="Courier New" w:hAnsi="Courier New"/>
          <w:color w:val="45C4B0"/>
          <w:sz w:val="18"/>
          <w:szCs w:val="18"/>
        </w:rPr>
        <w:t xml:space="preserve">  id_lote         UUID REFERENCES lote_cultivo(id_lote),</w:t>
      </w:r>
    </w:p>
    <w:p>
      <w:pPr>
        <w:shd w:fill="1E2A3A" w:val="clear"/>
        <w:spacing w:after="80" w:before="80"/>
        <w:ind w:left="360"/>
      </w:pPr>
      <w:r>
        <w:rPr>
          <w:rFonts w:ascii="Courier New" w:cs="Courier New" w:eastAsia="Courier New" w:hAnsi="Courier New"/>
          <w:color w:val="45C4B0"/>
          <w:sz w:val="18"/>
          <w:szCs w:val="18"/>
        </w:rPr>
        <w:t xml:space="preserve">  id_insumo       UUID REFERENCES insumo_sanitario(id_insumo),</w:t>
      </w:r>
    </w:p>
    <w:p>
      <w:pPr>
        <w:shd w:fill="1E2A3A" w:val="clear"/>
        <w:spacing w:after="80" w:before="80"/>
        <w:ind w:left="360"/>
      </w:pPr>
      <w:r>
        <w:rPr>
          <w:rFonts w:ascii="Courier New" w:cs="Courier New" w:eastAsia="Courier New" w:hAnsi="Courier New"/>
          <w:color w:val="45C4B0"/>
          <w:sz w:val="18"/>
          <w:szCs w:val="18"/>
        </w:rPr>
        <w:t xml:space="preserve">  id_usuario      UUID REFERENCES usuario(id_usuario),</w:t>
      </w:r>
    </w:p>
    <w:p>
      <w:pPr>
        <w:shd w:fill="1E2A3A" w:val="clear"/>
        <w:spacing w:after="80" w:before="80"/>
        <w:ind w:left="360"/>
      </w:pPr>
      <w:r>
        <w:rPr>
          <w:rFonts w:ascii="Courier New" w:cs="Courier New" w:eastAsia="Courier New" w:hAnsi="Courier New"/>
          <w:color w:val="45C4B0"/>
          <w:sz w:val="18"/>
          <w:szCs w:val="18"/>
        </w:rPr>
        <w:t xml:space="preserve">  id_tenant       UUID REFERENCES tenant(id_tenant) ON DELETE CASCADE,</w:t>
      </w:r>
    </w:p>
    <w:p>
      <w:pPr>
        <w:shd w:fill="1E2A3A" w:val="clear"/>
        <w:spacing w:after="80" w:before="80"/>
        <w:ind w:left="360"/>
      </w:pPr>
      <w:r>
        <w:rPr>
          <w:rFonts w:ascii="Courier New" w:cs="Courier New" w:eastAsia="Courier New" w:hAnsi="Courier New"/>
          <w:color w:val="45C4B0"/>
          <w:sz w:val="18"/>
          <w:szCs w:val="18"/>
        </w:rPr>
        <w:t xml:space="preserve">  timestamp_evento TIMESTAMP NOT NULL,</w:t>
      </w:r>
    </w:p>
    <w:p>
      <w:pPr>
        <w:shd w:fill="1E2A3A" w:val="clear"/>
        <w:spacing w:after="80" w:before="80"/>
        <w:ind w:left="360"/>
      </w:pPr>
      <w:r>
        <w:rPr>
          <w:rFonts w:ascii="Courier New" w:cs="Courier New" w:eastAsia="Courier New" w:hAnsi="Courier New"/>
          <w:color w:val="45C4B0"/>
          <w:sz w:val="18"/>
          <w:szCs w:val="18"/>
        </w:rPr>
        <w:t xml:space="preserve">  cantidad_aplicada DECIMAL(10,3) NOT NULL CHECK (cantidad_aplicada &gt; 0),</w:t>
      </w:r>
    </w:p>
    <w:p>
      <w:pPr>
        <w:shd w:fill="1E2A3A" w:val="clear"/>
        <w:spacing w:after="80" w:before="80"/>
        <w:ind w:left="360"/>
      </w:pPr>
      <w:r>
        <w:rPr>
          <w:rFonts w:ascii="Courier New" w:cs="Courier New" w:eastAsia="Courier New" w:hAnsi="Courier New"/>
          <w:color w:val="45C4B0"/>
          <w:sz w:val="18"/>
          <w:szCs w:val="18"/>
        </w:rPr>
        <w:t xml:space="preserve">  dosis_descrita  VARCHAR(200) NULL,  -- "10 mg/kg peso vivo"</w:t>
      </w:r>
    </w:p>
    <w:p>
      <w:pPr>
        <w:shd w:fill="1E2A3A" w:val="clear"/>
        <w:spacing w:after="80" w:before="80"/>
        <w:ind w:left="360"/>
      </w:pPr>
      <w:r>
        <w:rPr>
          <w:rFonts w:ascii="Courier New" w:cs="Courier New" w:eastAsia="Courier New" w:hAnsi="Courier New"/>
          <w:color w:val="45C4B0"/>
          <w:sz w:val="18"/>
          <w:szCs w:val="18"/>
        </w:rPr>
        <w:t xml:space="preserve">  motivo_aplicacion TEXT NOT NULL,    -- Diagnóstico o motivo</w:t>
      </w:r>
    </w:p>
    <w:p>
      <w:pPr>
        <w:shd w:fill="1E2A3A" w:val="clear"/>
        <w:spacing w:after="80" w:before="80"/>
        <w:ind w:left="360"/>
      </w:pPr>
      <w:r>
        <w:rPr>
          <w:rFonts w:ascii="Courier New" w:cs="Courier New" w:eastAsia="Courier New" w:hAnsi="Courier New"/>
          <w:color w:val="45C4B0"/>
          <w:sz w:val="18"/>
          <w:szCs w:val="18"/>
        </w:rPr>
        <w:t xml:space="preserve">  fecha_fin_retiro DATE NULL,          -- Calculado: timestamp + periodo_retiro_dias</w:t>
      </w:r>
    </w:p>
    <w:p>
      <w:pPr>
        <w:shd w:fill="1E2A3A" w:val="clear"/>
        <w:spacing w:after="80" w:before="80"/>
        <w:ind w:left="360"/>
      </w:pPr>
      <w:r>
        <w:rPr>
          <w:rFonts w:ascii="Courier New" w:cs="Courier New" w:eastAsia="Courier New" w:hAnsi="Courier New"/>
          <w:color w:val="45C4B0"/>
          <w:sz w:val="18"/>
          <w:szCs w:val="18"/>
        </w:rPr>
        <w:t xml:space="preserve">  sync_status     VARCHAR(20) DEFAULT 'pending'</w:t>
      </w:r>
    </w:p>
    <w:p>
      <w:pPr>
        <w:shd w:fill="1E2A3A" w:val="clear"/>
        <w:spacing w:after="80" w:before="80"/>
        <w:ind w:left="360"/>
      </w:pPr>
      <w:r>
        <w:rPr>
          <w:rFonts w:ascii="Courier New" w:cs="Courier New" w:eastAsia="Courier New" w:hAnsi="Courier New"/>
          <w:color w:val="45C4B0"/>
          <w:sz w:val="18"/>
          <w:szCs w:val="18"/>
        </w:rPr>
        <w:t xml:space="preserve">);</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B.3. Alerta de Período de Retiro en el Módulo de Cosecha</w:t>
      </w:r>
    </w:p>
    <w:p>
      <w:pPr>
        <w:spacing w:after="80" w:before="60"/>
      </w:pPr>
      <w:r>
        <w:rPr>
          <w:rFonts w:ascii="Inter" w:cs="Inter" w:eastAsia="Inter" w:hAnsi="Inter"/>
          <w:color w:val="334155"/>
          <w:sz w:val="22"/>
          <w:szCs w:val="22"/>
        </w:rPr>
        <w:t xml:space="preserve">El Dashboard del Gerente debe incluir un indicador de bloqueo de cosecha cuando la fecha actual sea anterior a fecha_fin_retiro para cualquier aplicación activa del lote:</w:t>
      </w:r>
    </w:p>
    <w:p>
      <w:pPr>
        <w:shd w:fill="1E2A3A" w:val="clear"/>
        <w:spacing w:after="80" w:before="80"/>
        <w:ind w:left="360"/>
      </w:pPr>
      <w:r>
        <w:rPr>
          <w:rFonts w:ascii="Courier New" w:cs="Courier New" w:eastAsia="Courier New" w:hAnsi="Courier New"/>
          <w:color w:val="45C4B0"/>
          <w:sz w:val="18"/>
          <w:szCs w:val="18"/>
        </w:rPr>
        <w:t xml:space="preserve">SELECT id_lote, nombre_producto, fecha_fin_retiro,</w:t>
      </w:r>
    </w:p>
    <w:p>
      <w:pPr>
        <w:shd w:fill="1E2A3A" w:val="clear"/>
        <w:spacing w:after="80" w:before="80"/>
        <w:ind w:left="360"/>
      </w:pPr>
      <w:r>
        <w:rPr>
          <w:rFonts w:ascii="Courier New" w:cs="Courier New" w:eastAsia="Courier New" w:hAnsi="Courier New"/>
          <w:color w:val="45C4B0"/>
          <w:sz w:val="18"/>
          <w:szCs w:val="18"/>
        </w:rPr>
        <w:t xml:space="preserve">       fecha_fin_retiro - CURRENT_DATE AS dias_restantes_retiro</w:t>
      </w:r>
    </w:p>
    <w:p>
      <w:pPr>
        <w:shd w:fill="1E2A3A" w:val="clear"/>
        <w:spacing w:after="80" w:before="80"/>
        <w:ind w:left="360"/>
      </w:pPr>
      <w:r>
        <w:rPr>
          <w:rFonts w:ascii="Courier New" w:cs="Courier New" w:eastAsia="Courier New" w:hAnsi="Courier New"/>
          <w:color w:val="45C4B0"/>
          <w:sz w:val="18"/>
          <w:szCs w:val="18"/>
        </w:rPr>
        <w:t xml:space="preserve">FROM registro_aplicacion_insumo rai</w:t>
      </w:r>
    </w:p>
    <w:p>
      <w:pPr>
        <w:shd w:fill="1E2A3A" w:val="clear"/>
        <w:spacing w:after="80" w:before="80"/>
        <w:ind w:left="360"/>
      </w:pPr>
      <w:r>
        <w:rPr>
          <w:rFonts w:ascii="Courier New" w:cs="Courier New" w:eastAsia="Courier New" w:hAnsi="Courier New"/>
          <w:color w:val="45C4B0"/>
          <w:sz w:val="18"/>
          <w:szCs w:val="18"/>
        </w:rPr>
        <w:t xml:space="preserve">JOIN insumo_sanitario ins ON rai.id_insumo = ins.id_insumo</w:t>
      </w:r>
    </w:p>
    <w:p>
      <w:pPr>
        <w:shd w:fill="1E2A3A" w:val="clear"/>
        <w:spacing w:after="80" w:before="80"/>
        <w:ind w:left="360"/>
      </w:pPr>
      <w:r>
        <w:rPr>
          <w:rFonts w:ascii="Courier New" w:cs="Courier New" w:eastAsia="Courier New" w:hAnsi="Courier New"/>
          <w:color w:val="45C4B0"/>
          <w:sz w:val="18"/>
          <w:szCs w:val="18"/>
        </w:rPr>
        <w:t xml:space="preserve">WHERE rai.id_tenant = $1</w:t>
      </w:r>
    </w:p>
    <w:p>
      <w:pPr>
        <w:shd w:fill="1E2A3A" w:val="clear"/>
        <w:spacing w:after="80" w:before="80"/>
        <w:ind w:left="360"/>
      </w:pPr>
      <w:r>
        <w:rPr>
          <w:rFonts w:ascii="Courier New" w:cs="Courier New" w:eastAsia="Courier New" w:hAnsi="Courier New"/>
          <w:color w:val="45C4B0"/>
          <w:sz w:val="18"/>
          <w:szCs w:val="18"/>
        </w:rPr>
        <w:t xml:space="preserve">  AND rai.fecha_fin_retiro &gt; CURRENT_DATE</w:t>
      </w:r>
    </w:p>
    <w:p>
      <w:pPr>
        <w:shd w:fill="1E2A3A" w:val="clear"/>
        <w:spacing w:after="80" w:before="80"/>
        <w:ind w:left="360"/>
      </w:pPr>
      <w:r>
        <w:rPr>
          <w:rFonts w:ascii="Courier New" w:cs="Courier New" w:eastAsia="Courier New" w:hAnsi="Courier New"/>
          <w:color w:val="45C4B0"/>
          <w:sz w:val="18"/>
          <w:szCs w:val="18"/>
        </w:rPr>
        <w:t xml:space="preserve">  AND ins.periodo_retiro_dias &gt; 0;</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B.4. CU Mínimo Viable: CU-AQUA-08 (Registro de Aplicación de Insumo)</w:t>
      </w:r>
    </w:p>
    <w:p>
      <w:pPr>
        <w:spacing w:after="80" w:before="60"/>
      </w:pPr>
      <w:r>
        <w:rPr>
          <w:rFonts w:ascii="Inter" w:cs="Inter" w:eastAsia="Inter" w:hAnsi="Inter"/>
          <w:color w:val="334155"/>
          <w:sz w:val="22"/>
          <w:szCs w:val="22"/>
        </w:rPr>
        <w:t xml:space="preserve">Se define un caso de uso adicional de complejidad baja para el MVP:</w:t>
      </w:r>
    </w:p>
    <w:p>
      <w:pPr>
        <w:pStyle w:val="ListParagraph"/>
        <w:numPr>
          <w:ilvl w:val="0"/>
          <w:numId w:val="2"/>
        </w:numPr>
        <w:spacing w:after="40" w:before="40"/>
      </w:pPr>
      <w:r>
        <w:rPr>
          <w:rFonts w:ascii="Inter" w:cs="Inter" w:eastAsia="Inter" w:hAnsi="Inter"/>
          <w:b w:val="false"/>
          <w:bCs w:val="false"/>
          <w:color w:val="334155"/>
          <w:sz w:val="22"/>
          <w:szCs w:val="22"/>
        </w:rPr>
        <w:t xml:space="preserve">Actor: Coordinador (el Operario no aplica insumos por definición de roles del TDD-03)</w:t>
      </w:r>
    </w:p>
    <w:p>
      <w:pPr>
        <w:pStyle w:val="ListParagraph"/>
        <w:numPr>
          <w:ilvl w:val="0"/>
          <w:numId w:val="2"/>
        </w:numPr>
        <w:spacing w:after="40" w:before="40"/>
      </w:pPr>
      <w:r>
        <w:rPr>
          <w:rFonts w:ascii="Inter" w:cs="Inter" w:eastAsia="Inter" w:hAnsi="Inter"/>
          <w:b w:val="false"/>
          <w:bCs w:val="false"/>
          <w:color w:val="334155"/>
          <w:sz w:val="22"/>
          <w:szCs w:val="22"/>
        </w:rPr>
        <w:t xml:space="preserve">Flujo: Seleccionar lote → seleccionar insumo del catálogo → ingresar cantidad y motivo → el sistema calcula fecha de fin de retiro automáticamente → encolar offline.</w:t>
      </w:r>
    </w:p>
    <w:p>
      <w:pPr>
        <w:pStyle w:val="ListParagraph"/>
        <w:numPr>
          <w:ilvl w:val="0"/>
          <w:numId w:val="2"/>
        </w:numPr>
        <w:spacing w:after="40" w:before="40"/>
      </w:pPr>
      <w:r>
        <w:rPr>
          <w:rFonts w:ascii="Inter" w:cs="Inter" w:eastAsia="Inter" w:hAnsi="Inter"/>
          <w:b w:val="false"/>
          <w:bCs w:val="false"/>
          <w:color w:val="334155"/>
          <w:sz w:val="22"/>
          <w:szCs w:val="22"/>
        </w:rPr>
        <w:t xml:space="preserve">Hard Limit: El campo registro_ica es opcional, pero si se ingresa, el sistema valida su formato (ej. ICA-MVET-XXXX-YYY) para no contaminar el observatorio con datos inválidos.</w:t>
      </w:r>
    </w:p>
    <w:p>
      <w:pPr>
        <w:pStyle w:val="ListParagraph"/>
        <w:numPr>
          <w:ilvl w:val="0"/>
          <w:numId w:val="2"/>
        </w:numPr>
        <w:spacing w:after="40" w:before="40"/>
      </w:pPr>
      <w:r>
        <w:rPr>
          <w:rFonts w:ascii="Inter" w:cs="Inter" w:eastAsia="Inter" w:hAnsi="Inter"/>
          <w:b w:val="false"/>
          <w:bCs w:val="false"/>
          <w:color w:val="334155"/>
          <w:sz w:val="22"/>
          <w:szCs w:val="22"/>
        </w:rPr>
        <w:t xml:space="preserve">UI: Alerta visual prominente en el Dashboard del lote cuando hay período de retiro activo: "⛔ COSECHA BLOQUEADA — Retiro activo hasta [fecha]."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vAlign w:val="center"/>
          </w:tcPr>
          <w:p>
            <w:pPr>
              <w:jc w:val="center"/>
            </w:pPr>
            <w:r>
              <w:rPr>
                <w:rFonts w:ascii="Montserrat" w:cs="Montserrat" w:eastAsia="Montserrat" w:hAnsi="Montserrat"/>
                <w:b/>
                <w:bCs/>
                <w:color w:val="FFFFFF"/>
                <w:sz w:val="20"/>
                <w:szCs w:val="20"/>
              </w:rPr>
              <w:t xml:space="preserve">📋 PRIORIZACIÓN</w:t>
            </w:r>
          </w:p>
        </w:tc>
        <w:tc>
          <w:tcPr>
            <w:tcW w:type="dxa" w:w="7920"/>
            <w:tcBorders>
              <w:top w:val="single" w:color="1A335C" w:sz="1"/>
              <w:left w:val="single" w:color="1A335C" w:sz="1"/>
              <w:bottom w:val="single" w:color="1A335C" w:sz="1"/>
              <w:right w:val="single" w:color="1A335C" w:sz="1"/>
            </w:tcBorders>
            <w:tcMar>
              <w:top w:type="dxa" w:w="80"/>
              <w:left w:type="dxa" w:w="120"/>
              <w:bottom w:type="dxa" w:w="80"/>
              <w:right w:type="dxa" w:w="120"/>
            </w:tcMar>
          </w:tcPr>
          <w:p>
            <w:r>
              <w:rPr>
                <w:rFonts w:ascii="Inter" w:cs="Inter" w:eastAsia="Inter" w:hAnsi="Inter"/>
                <w:color w:val="334155"/>
                <w:sz w:val="20"/>
                <w:szCs w:val="20"/>
              </w:rPr>
              <w:t xml:space="preserve">Se recomienda incluir CU-AQUA-08 en el Sprint 2 del desarrollo, inmediatamente después de los 6 casos de uso del núcleo MVP. Su omisión podría generar multas ICA para los clientes de la plataforma.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35C" w:sz="4" w:space="1"/>
      </w:pBdr>
    </w:pPr>
    <w:r>
      <w:rPr>
        <w:rFonts w:ascii="Inter" w:cs="Inter" w:eastAsia="Inter" w:hAnsi="Inter"/>
        <w:color w:val="334155"/>
        <w:sz w:val="16"/>
        <w:szCs w:val="16"/>
      </w:rPr>
      <w:t xml:space="preserve">Aquashell — Documento de Arquitectura Técnica  ·  Confidencial  ·  Pág. </w:t>
    </w:r>
    <w:r>
      <w:rPr>
        <w:rFonts w:ascii="Inter" w:cs="Inter" w:eastAsia="Inter" w:hAnsi="Inter"/>
        <w:color w:val="1A33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5C4B0" w:sz="6" w:space="1"/>
      </w:pBdr>
      <w:tabs>
        <w:tab w:val="right" w:pos="9026"/>
      </w:tabs>
    </w:pPr>
    <w:r>
      <w:rPr>
        <w:rFonts w:ascii="Montserrat" w:cs="Montserrat" w:eastAsia="Montserrat" w:hAnsi="Montserrat"/>
        <w:b/>
        <w:bCs/>
        <w:color w:val="45C4B0"/>
        <w:sz w:val="18"/>
        <w:szCs w:val="18"/>
      </w:rPr>
      <w:t xml:space="preserve">AQUASHELL  ·  </w:t>
    </w:r>
    <w:r>
      <w:rPr>
        <w:rFonts w:ascii="Montserrat" w:cs="Montserrat" w:eastAsia="Montserrat" w:hAnsi="Montserrat"/>
        <w:b/>
        <w:bCs/>
        <w:color w:val="1A335C"/>
        <w:sz w:val="18"/>
        <w:szCs w:val="18"/>
      </w:rPr>
      <w:t xml:space="preserve">Política de Sesión JWT y Compliance Regulatorio</w:t>
    </w:r>
    <w:r>
      <w:rPr>
        <w:rFonts w:ascii="Inter" w:cs="Inter" w:eastAsia="Inter" w:hAnsi="Inter"/>
        <w:color w:val="C29B57"/>
        <w:sz w:val="16"/>
        <w:szCs w:val="16"/>
      </w:rPr>
      <w:t xml:space="preserve">	TDD-07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ontserrat" w:cs="Montserrat" w:eastAsia="Montserrat" w:hAnsi="Montserrat"/>
      <w:b/>
      <w:bCs/>
      <w:color w:val="1A335C"/>
      <w:sz w:val="32"/>
      <w:szCs w:val="32"/>
    </w:rPr>
  </w:style>
  <w:style w:type="paragraph" w:styleId="Heading2">
    <w:name w:val="Heading 2"/>
    <w:basedOn w:val="Normal"/>
    <w:next w:val="Normal"/>
    <w:qFormat/>
    <w:pPr>
      <w:spacing w:after="120" w:before="280"/>
      <w:outlineLvl w:val="1"/>
    </w:pPr>
    <w:rPr>
      <w:rFonts w:ascii="Montserrat" w:cs="Montserrat" w:eastAsia="Montserrat" w:hAnsi="Montserrat"/>
      <w:b/>
      <w:bCs/>
      <w:color w:val="1A335C"/>
      <w:sz w:val="26"/>
      <w:szCs w:val="26"/>
    </w:rPr>
  </w:style>
  <w:style w:type="paragraph" w:styleId="Heading3">
    <w:name w:val="Heading 3"/>
    <w:basedOn w:val="Normal"/>
    <w:next w:val="Normal"/>
    <w:qFormat/>
    <w:pPr>
      <w:spacing w:after="80" w:before="200"/>
      <w:outlineLvl w:val="2"/>
    </w:pPr>
    <w:rPr>
      <w:rFonts w:ascii="Montserrat" w:cs="Montserrat" w:eastAsia="Montserrat" w:hAnsi="Montserrat"/>
      <w:b/>
      <w:bCs/>
      <w:color w:val="C29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2026-05-03T19:53:50.438Z</dcterms:created>
  <dcterms:modified xsi:type="dcterms:W3CDTF">2026-05-03T19:53:50.438Z</dcterms:modified>
</cp:coreProperties>
</file>

<file path=docProps/custom.xml><?xml version="1.0" encoding="utf-8"?>
<Properties xmlns="http://schemas.openxmlformats.org/officeDocument/2006/custom-properties" xmlns:vt="http://schemas.openxmlformats.org/officeDocument/2006/docPropsVTypes"/>
</file>