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Montserrat" w:cs="Montserrat" w:eastAsia="Montserrat" w:hAnsi="Montserrat"/>
          <w:b/>
          <w:bCs/>
          <w:color w:val="45C4B0"/>
          <w:sz w:val="72"/>
          <w:szCs w:val="72"/>
        </w:rPr>
        <w:t xml:space="preserve">TDD-09</w:t>
      </w:r>
    </w:p>
    <w:p>
      <w:pPr>
        <w:spacing w:after="80" w:before="0"/>
      </w:pPr>
      <w:r>
        <w:rPr>
          <w:rFonts w:ascii="Montserrat" w:cs="Montserrat" w:eastAsia="Montserrat" w:hAnsi="Montserrat"/>
          <w:b/>
          <w:bCs/>
          <w:color w:val="1A335C"/>
          <w:sz w:val="44"/>
          <w:szCs w:val="44"/>
        </w:rPr>
        <w:t xml:space="preserve">Plan de Migraciones DDL</w:t>
      </w:r>
    </w:p>
    <w:p>
      <w:pPr>
        <w:spacing w:after="40" w:before="0"/>
      </w:pPr>
      <w:r>
        <w:rPr>
          <w:rFonts w:ascii="Inter" w:cs="Inter" w:eastAsia="Inter" w:hAnsi="Inter"/>
          <w:color w:val="334155"/>
          <w:sz w:val="24"/>
          <w:szCs w:val="24"/>
        </w:rPr>
        <w:t xml:space="preserve">Versionado, Orquestación y Ejecución del Esquema de Base de Datos</w:t>
      </w:r>
    </w:p>
    <w:p>
      <w:pPr>
        <w:spacing w:after="480" w:before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Versión 1.0  ·  2026-05-03  ·  Estado: </w:t>
      </w:r>
      <w:r>
        <w:rPr>
          <w:rFonts w:ascii="Montserrat" w:cs="Montserrat" w:eastAsia="Montserrat" w:hAnsi="Montserrat"/>
          <w:b/>
          <w:bCs/>
          <w:color w:val="45C4B0"/>
          <w:sz w:val="20"/>
          <w:szCs w:val="20"/>
        </w:rPr>
        <w:t xml:space="preserve">APROBADO</w:t>
      </w:r>
    </w:p>
    <w:p>
      <w:r>
        <w:br w:type="pag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1. Justificación de la Brecha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El esquema de base de datos de Aquashell se encuentra distribuido en cuatro documentos técnicos: TDD-001 define las 7 tablas base; TDD-004 agrega columnas con ALTER TABLE a lote_cultivo; TDD-006 agrega 5 columnas a registro_calidad_agua; CU-AQUA-07 agrega 2 tablas (muestreo_biometrico, detalle_muestreo); TDD-007 agrega 2 tablas (insumo_sanitario, registro_aplicacion_insumo); TDD-08 agrega 1 tabla (dispositivo).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Esta dispersión genera un riesgo operativo crítico: si el equipo de Backend levanta la base de datos sin un orden estricto de aplicación, las dependencias entre claves foráneas y constraints fallan, generando inconsistencias o estados de DB no reproducibles entre ambientes (dev, staging, prod).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Este documento consolida y versiona todas las migraciones bajo un esquema Flyway-compatible, garantizando trazabilidad, repetibilidad y rollback controlado.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2. Herramienta de Migración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Se selecciona Flyway Community Edition por su madurez en entornos PostgreSQL, su modelo de versionado declarativo (V&lt;número&gt;__&lt;descripción&gt;.sql), su compatibilidad con CI/CD y su soporte para checksums que detectan modificaciones no autorizadas a migraciones ya aplicadas.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El esquema de versionado sigue la convención: V&lt;MAJOR&gt;&lt;MINOR&gt;__&lt;descripción_snake_case&gt;.sql. Las migraciones se ejecutan automáticamente al arrancar el servicio API en dev/staging y manualmente vía CI/CD pipeline en producción con aprobación del Líder Técnico.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3. Inventario Total de Migraciones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1800"/>
        <w:gridCol w:w="3460"/>
      </w:tblGrid>
      <w:tr>
        <w:trPr>
          <w:tblHeader/>
        </w:trP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Origen TDD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V001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V001__init_schema.sql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TDD-001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CREATE EXTENSION pgcrypto, tablas base, índices, constraints, RLS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V002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V002__rbac_seed.sql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TDD-003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INSERT inicial de roles y permisos del sistema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V003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V003__device_table.sql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TDD-08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CREATE TABLE dispositivo, índices y constraints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V004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V004__biomass_columns.sql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TDD-04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ALTER TABLE lote_cultivo: peso, estadío, factor alimentación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V005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V005__ctq_extended.sql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TDD-06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ALTER TABLE registro_calidad_agua: TAN, NO2, alcalinidad, Secchi, salinidad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V006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V006__biometry_tables.sql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CU-07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CREATE TABLE muestreo_biometrico y detalle_muestreo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V007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V007__sanitary_inputs.sql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TDD-07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CREATE TABLE insumo_sanitario y registro_aplicacion_insumo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V008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V008__audit_extensions.sql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TDD-07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Triggers de audit trail para correcciones de aplicación de insumos</w:t>
            </w:r>
          </w:p>
        </w:tc>
      </w:tr>
      <w:tr>
        <w:tc>
          <w:tcPr>
            <w:tcW w:type="dxa" w:w="11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V009</w:t>
            </w:r>
          </w:p>
        </w:tc>
        <w:tc>
          <w:tcPr>
            <w:tcW w:type="dxa" w:w="30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V009__seeds_dev.sql</w:t>
            </w:r>
          </w:p>
        </w:tc>
        <w:tc>
          <w:tcPr>
            <w:tcW w:type="dxa" w:w="18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CONFIG</w:t>
            </w:r>
          </w:p>
        </w:tc>
        <w:tc>
          <w:tcPr>
            <w:tcW w:type="dxa" w:w="34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Seeds de desarrollo (solo dev/staging, no prod)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4. Estructura del Repositorio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services/api-python/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├── migrations/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├── V001__init_schema.sql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├── V002__rbac_seed.sql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├── V003__device_table.sql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├── V004__biomass_columns.sql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├── V005__ctq_extended.sql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├── V006__biometry_tables.sql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├── V007__sanitary_inputs.sql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├── V008__audit_extensions.sql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│   └── V009__seeds_dev.sql       &lt;-- excluido de prod via flyway.locations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├── flyway.conf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├── flyway.dev.conf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├── flyway.staging.conf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└── flyway.prod.conf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5. Orden Estricto de Dependencias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El siguiente grafo dirigido acíclico (DAG) muestra las dependencias entre migraciones. Cualquier alteración del orden de ejecución rompe la integridad referencial: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V001 (tablas base + tenant + usuario)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↓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V002 (roles requiere tabla rol de V001)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↓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V003 (dispositivo referencia tenant de V001)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↓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V004 (ALTER lote_cultivo de V001)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↓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V005 (ALTER registro_calidad_agua de V001)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↓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V006 (muestreo_biometrico FK a lote_cultivo, requiere V004 para peso_promedio_actual_g)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↓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V007 (registro_aplicacion_insumo FK a lote_cultivo, requiere V001)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↓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V008 (triggers sobre tablas de V007)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↓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V009 (seeds dev: solo si Flyway profile = dev)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6. Configuración Flyway por Ambiente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6.1. flyway.conf (común)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flyway.url=jdbc:postgresql://${DB_HOST}:5432/${DB_NAME}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flyway.user=${DB_USER}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flyway.password=${DB_PASSWORD}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flyway.schemas=public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flyway.table=flyway_schema_history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flyway.baselineOnMigrate=true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flyway.baselineVersion=0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flyway.validateOnMigrate=true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flyway.outOfOrder=false       # Forzar orden estricto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flyway.cleanDisabled=true     # Bloquear flyway clean en todos los ambientes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6.2. flyway.prod.conf (overrides para producción)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flyway.locations=classpath:db/migration  # No incluye seeds de dev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flyway.cleanDisabled=true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flyway.placeholderReplacement=false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# Producción exige aprobación manual antes de ejecutar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# La pipeline CI/CD requiere flag --confirm-prod-migration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7. Plantilla Estándar para Migraciones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Toda migración debe seguir este patrón para garantizar idempotencia parcial y comentarios trazables: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==================================================================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Migración: V004__biomass_columns.sql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Descripción: Agrega columnas biométricas a lote_cultivo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Origen: TDD-004 (Motor de Biomasa Local)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Autor: Claude  ·  Fecha: 2026-05-03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Dependencias: V001 (tabla lote_cultivo debe existir)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Reversible: SÍ (ver migrations/rollback/U004__biomass_columns.sql)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-- ==================================================================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BEGIN;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ALTER TABLE lote_cultivo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IF NOT EXISTS peso_promedio_actual_g      DECIMAL(8,2)  DEFAULT 0.0,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IF NOT EXISTS fecha_ultimo_muestreo       TIMESTAMP     NULL,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IF NOT EXISTS factor_alimentacion_pct     DECIMAL(4,2)  NOT NULL DEFAULT 3.0,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IF NOT EXISTS tasa_crecimiento_diario_pct DECIMAL(5,3)  NOT NULL DEFAULT 0.9,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COLUMN IF NOT EXISTS estadio_cultivo             VARCHAR(20)   NOT NULL DEFAULT 'Engorde';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ALTER TABLE lote_cultivo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CONSTRAINT chk_factor_alimentacion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CHECK (factor_alimentacion_pct &gt; 0 AND factor_alimentacion_pct &lt;= 10),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ADD CONSTRAINT chk_estadio_cultivo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CHECK (estadio_cultivo IN ('Siembra','Levante','Engorde','Pre-cosecha'));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CREATE INDEX IF NOT EXISTS idx_lote_estadio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ON lote_cultivo(estadio_cultivo);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COMMIT;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8. Política de Rollback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Cada migración aplicada debe tener su contraparte de rollback en el directorio migrations/rollback/. La nomenclatura sigue el patrón U&lt;número&gt;__&lt;descripción&gt;.sql (Undo). Los rollbacks NO son ejecutados automáticamente por Flyway Community; deben aplicarse manualmente con justificación documentada en el sistema de tickets.</w:t>
      </w:r>
    </w:p>
    <w:p>
      <w:pPr>
        <w:spacing w:after="80" w:before="6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Excepciones a esta regla son las migraciones de tipo seed (V002, V009) cuyas operaciones son INSERTs idempotentes y no requieren rollback estructural.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9. Gobernanza de Migraciones</w:t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9.1. Reglas Inmutables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NUNCA modificar una migración ya aplicada en producción. Si requiere cambios, crear una nueva migración correctiva con número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NUNCA usar flyway clean en ningún ambiente (configurado como cleanDisabled = true).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NUNCA incluir DROP TABLE, DROP COLUMN o TRUNCATE en migraciones forward sin migración correctiva en backup previo validado.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Las migraciones de producción requieren PR aprobado por al menos 2 ingenieros y QA pre-ejecutada en staging con datos representativos.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color w:val="334155"/>
          <w:sz w:val="22"/>
          <w:szCs w:val="22"/>
        </w:rPr>
        <w:t xml:space="preserve">El campo flyway_schema_history.checksum es inmutable. Cualquier divergencia detectada por Flyway en validateOnMigrate aborta el despliegue.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335C"/>
          <w:sz w:val="26"/>
          <w:szCs w:val="26"/>
        </w:rPr>
        <w:t xml:space="preserve">9.2. Roles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1A33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Ingeniero Backend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Crea migraciones forward + rollback. Las prueba localmente con docker-compose.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Valida migraciones en staging con dataset representativo. Ejecuta suite de regresión.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Aprueba PR de migración. Coordina ventana de despliegue en producción.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DevOps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EAF6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Ejecuta migración en producción. Valida health checks post-migración.</w:t>
            </w:r>
          </w:p>
        </w:tc>
      </w:tr>
      <w:tr>
        <w:tc>
          <w:tcPr>
            <w:tcW w:type="dxa" w:w="240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DBA (futuro)</w:t>
            </w:r>
          </w:p>
        </w:tc>
        <w:tc>
          <w:tcPr>
            <w:tcW w:type="dxa" w:w="6960"/>
            <w:tcBorders>
              <w:top w:val="single" w:color="1A335C" w:sz="1"/>
              <w:left w:val="single" w:color="1A335C" w:sz="1"/>
              <w:bottom w:val="single" w:color="1A335C" w:sz="1"/>
              <w:right w:val="single" w:color="1A335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Audita schema drift y performance. Genera reportes de growth de tablas.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10. Pipeline CI/CD Integrado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# .github/workflows/db_migration.yml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name: Database Migration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on: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push: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paths: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- 'services/api-python/migrations/**'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jobs: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test_migration_dev: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runs-on: ubuntu-latest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steps: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- uses: actions/checkout@v4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- name: Spin up PostgreSQL 15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  run: docker-compose -f ci/docker-compose.test.yml up -d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- name: Apply migrations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  run: flyway -configFiles=flyway.dev.conf migrate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- name: Validate schema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  run: flyway -configFiles=flyway.dev.conf validate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- name: Run integration tests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  run: pytest tests/integration --db-migrated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/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deploy_staging: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needs: test_migration_dev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if: github.ref == 'refs/heads/develop'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runs-on: ubuntu-latest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steps: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- name: Apply to staging</w:t>
      </w:r>
    </w:p>
    <w:p>
      <w:pPr>
        <w:shd w:fill="1E2A3A" w:val="clear"/>
        <w:spacing w:after="80" w:before="80"/>
        <w:ind w:left="360"/>
      </w:pPr>
      <w:r>
        <w:rPr>
          <w:rFonts w:ascii="Courier New" w:cs="Courier New" w:eastAsia="Courier New" w:hAnsi="Courier New"/>
          <w:color w:val="45C4B0"/>
          <w:sz w:val="18"/>
          <w:szCs w:val="18"/>
        </w:rPr>
        <w:t xml:space="preserve">        run: flyway -configFiles=flyway.staging.conf migrate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5C4B0" w:sz="8" w:space="4"/>
        </w:pBdr>
        <w:spacing w:after="160" w:before="360"/>
      </w:pPr>
      <w:r>
        <w:rPr>
          <w:rFonts w:ascii="Montserrat" w:cs="Montserrat" w:eastAsia="Montserrat" w:hAnsi="Montserrat"/>
          <w:b/>
          <w:bCs/>
          <w:color w:val="1A335C"/>
          <w:sz w:val="32"/>
          <w:szCs w:val="32"/>
        </w:rPr>
        <w:t xml:space="preserve">11. Criterios de Aceptación (QA)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1 — Reproducibilidad de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Levantar 3 ambientes nuevos (dev, staging, prod-clone) desde cero.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Ejecutar flyway migrate en cada uno.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Validar que pg_dump --schema-only de los 3 ambientes son idénticos byte a byte.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2 — Detección de Schema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Aplicar todas las migraciones en dev.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Modificar manualmente una columna (ej. ALTER TABLE usuario ALTER COLUMN nombre TYPE 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Ejecutar flyway validate. Debe reportar drift detectado y abortar el siguiente migrate.</w:t>
      </w:r>
    </w:p>
    <w:p>
      <w:pPr>
        <w:pStyle w:val="Heading3"/>
        <w:spacing w:after="80" w:before="200"/>
      </w:pPr>
      <w:r>
        <w:rPr>
          <w:rFonts w:ascii="Montserrat" w:cs="Montserrat" w:eastAsia="Montserrat" w:hAnsi="Montserrat"/>
          <w:b/>
          <w:bCs/>
          <w:color w:val="C29B57"/>
          <w:sz w:val="22"/>
          <w:szCs w:val="22"/>
        </w:rPr>
        <w:t xml:space="preserve">Prueba 3 — Orden de Dependencias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Renombrar V003__device_table.sql a V010__device_table.sql.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Ejecutar migrate en ambiente limpio.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color w:val="334155"/>
          <w:sz w:val="22"/>
          <w:szCs w:val="22"/>
        </w:rPr>
        <w:t xml:space="preserve">Resultado esperado: error porque V004 (lote_cultivo) requiere campos que dependen del flujo lógico previo.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🛑 BLOQUEANTE</w:t>
            </w:r>
          </w:p>
        </w:tc>
        <w:tc>
          <w:tcPr>
            <w:tcW w:type="dxa" w:w="79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Este documento DEBE ser implementado antes de iniciar el Sprint 0 de desarrollo. Sin un plan de migraciones versionado, los ambientes de desarrollo, staging y producción divergirán en horas, generando bugs irreproducibles y bloqueos en el equipo.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35C" w:sz="4" w:space="1"/>
      </w:pBdr>
    </w:pPr>
    <w:r>
      <w:rPr>
        <w:rFonts w:ascii="Inter" w:cs="Inter" w:eastAsia="Inter" w:hAnsi="Inter"/>
        <w:color w:val="334155"/>
        <w:sz w:val="16"/>
        <w:szCs w:val="16"/>
      </w:rPr>
      <w:t xml:space="preserve">Aquashell — Documento de Arquitectura Técnica  ·  Confidencial  ·  Pág. </w:t>
    </w:r>
    <w:r>
      <w:rPr>
        <w:rFonts w:ascii="Inter" w:cs="Inter" w:eastAsia="Inter" w:hAnsi="Inter"/>
        <w:color w:val="1A33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5C4B0" w:sz="6" w:space="1"/>
      </w:pBdr>
      <w:tabs>
        <w:tab w:val="right" w:pos="9026"/>
      </w:tabs>
    </w:pPr>
    <w:r>
      <w:rPr>
        <w:rFonts w:ascii="Montserrat" w:cs="Montserrat" w:eastAsia="Montserrat" w:hAnsi="Montserrat"/>
        <w:b/>
        <w:bCs/>
        <w:color w:val="45C4B0"/>
        <w:sz w:val="18"/>
        <w:szCs w:val="18"/>
      </w:rPr>
      <w:t xml:space="preserve">AQUASHELL  ·  </w:t>
    </w:r>
    <w:r>
      <w:rPr>
        <w:rFonts w:ascii="Montserrat" w:cs="Montserrat" w:eastAsia="Montserrat" w:hAnsi="Montserrat"/>
        <w:b/>
        <w:bCs/>
        <w:color w:val="1A335C"/>
        <w:sz w:val="18"/>
        <w:szCs w:val="18"/>
      </w:rPr>
      <w:t xml:space="preserve">Plan de Migraciones DDL</w:t>
    </w:r>
    <w:r>
      <w:rPr>
        <w:rFonts w:ascii="Inter" w:cs="Inter" w:eastAsia="Inter" w:hAnsi="Inter"/>
        <w:color w:val="C29B57"/>
        <w:sz w:val="16"/>
        <w:szCs w:val="16"/>
      </w:rPr>
      <w:t xml:space="preserve">	TDD-09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ontserrat" w:cs="Montserrat" w:eastAsia="Montserrat" w:hAnsi="Montserrat"/>
      <w:b/>
      <w:bCs/>
      <w:color w:val="1A33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ontserrat" w:cs="Montserrat" w:eastAsia="Montserrat" w:hAnsi="Montserrat"/>
      <w:b/>
      <w:bCs/>
      <w:color w:val="1A33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C29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2026-05-03T20:16:22.740Z</dcterms:created>
  <dcterms:modified xsi:type="dcterms:W3CDTF">2026-05-03T20:16:22.740Z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