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ontserrat" w:cs="Montserrat" w:eastAsia="Montserrat" w:hAnsi="Montserrat"/>
          <w:b/>
          <w:bCs/>
          <w:color w:val="45C4B0"/>
          <w:sz w:val="72"/>
          <w:szCs w:val="72"/>
        </w:rPr>
        <w:t xml:space="preserve">TDD-10</w:t>
      </w:r>
    </w:p>
    <w:p>
      <w:pPr>
        <w:spacing w:after="80" w:before="0"/>
      </w:pPr>
      <w:r>
        <w:rPr>
          <w:rFonts w:ascii="Montserrat" w:cs="Montserrat" w:eastAsia="Montserrat" w:hAnsi="Montserrat"/>
          <w:b/>
          <w:bCs/>
          <w:color w:val="1A335C"/>
          <w:sz w:val="44"/>
          <w:szCs w:val="44"/>
        </w:rPr>
        <w:t xml:space="preserve">Vigencia Extendida y Gobernanza</w:t>
      </w:r>
    </w:p>
    <w:p>
      <w:pPr>
        <w:spacing w:after="40" w:before="0"/>
      </w:pPr>
      <w:r>
        <w:rPr>
          <w:rFonts w:ascii="Inter" w:cs="Inter" w:eastAsia="Inter" w:hAnsi="Inter"/>
          <w:color w:val="334155"/>
          <w:sz w:val="24"/>
          <w:szCs w:val="24"/>
        </w:rPr>
        <w:t xml:space="preserve">Snapshot Token de 48h y Aprobación del Catálogo de Insumos Sanitarios</w:t>
      </w:r>
    </w:p>
    <w:p>
      <w:pPr>
        <w:spacing w:after="480" w:before="0"/>
      </w:pPr>
      <w:r>
        <w:rPr>
          <w:rFonts w:ascii="Inter" w:cs="Inter" w:eastAsia="Inter" w:hAnsi="Inter"/>
          <w:color w:val="334155"/>
          <w:sz w:val="20"/>
          <w:szCs w:val="20"/>
        </w:rPr>
        <w:t xml:space="preserve">Versión 1.0  ·  2026-05-03  ·  Estado: </w:t>
      </w:r>
      <w:r>
        <w:rPr>
          <w:rFonts w:ascii="Montserrat" w:cs="Montserrat" w:eastAsia="Montserrat" w:hAnsi="Montserrat"/>
          <w:b/>
          <w:bCs/>
          <w:color w:val="45C4B0"/>
          <w:sz w:val="20"/>
          <w:szCs w:val="20"/>
        </w:rPr>
        <w:t xml:space="preserve">APROBADO</w:t>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PARTE A — Política de Snapshot Token Extendido</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A.1. Justificación</w:t>
      </w:r>
    </w:p>
    <w:p>
      <w:pPr>
        <w:spacing w:after="80" w:before="60"/>
      </w:pPr>
      <w:r>
        <w:rPr>
          <w:rFonts w:ascii="Inter" w:cs="Inter" w:eastAsia="Inter" w:hAnsi="Inter"/>
          <w:color w:val="334155"/>
          <w:sz w:val="22"/>
          <w:szCs w:val="22"/>
        </w:rPr>
        <w:t xml:space="preserve">El TDD-007 estableció que el Snapshot Token tiene una vigencia de 24 horas, tras la cual las transacciones de escritura quedan bloqueadas exigiendo reconexión. Sin embargo, la realidad operativa de UPAs acuícolas en Colombia incluye escenarios donde este límite es disfuncional:</w:t>
      </w:r>
    </w:p>
    <w:p>
      <w:pPr>
        <w:pStyle w:val="ListParagraph"/>
        <w:numPr>
          <w:ilvl w:val="0"/>
          <w:numId w:val="2"/>
        </w:numPr>
        <w:spacing w:after="40" w:before="40"/>
      </w:pPr>
      <w:r>
        <w:rPr>
          <w:rFonts w:ascii="Inter" w:cs="Inter" w:eastAsia="Inter" w:hAnsi="Inter"/>
          <w:b w:val="false"/>
          <w:bCs w:val="false"/>
          <w:color w:val="334155"/>
          <w:sz w:val="22"/>
          <w:szCs w:val="22"/>
        </w:rPr>
        <w:t xml:space="preserve">Fincas en zonas remotas del Vichada, Guainía, Amazonas o Pacífico chocoano sin cobertura WiFi/4G estable.</w:t>
      </w:r>
    </w:p>
    <w:p>
      <w:pPr>
        <w:pStyle w:val="ListParagraph"/>
        <w:numPr>
          <w:ilvl w:val="0"/>
          <w:numId w:val="2"/>
        </w:numPr>
        <w:spacing w:after="40" w:before="40"/>
      </w:pPr>
      <w:r>
        <w:rPr>
          <w:rFonts w:ascii="Inter" w:cs="Inter" w:eastAsia="Inter" w:hAnsi="Inter"/>
          <w:b w:val="false"/>
          <w:bCs w:val="false"/>
          <w:color w:val="334155"/>
          <w:sz w:val="22"/>
          <w:szCs w:val="22"/>
        </w:rPr>
        <w:t xml:space="preserve">Operaciones de fin de semana donde el operario único hace turnos de viernes 6am a domingo 6pm sin acceso a la oficina central.</w:t>
      </w:r>
    </w:p>
    <w:p>
      <w:pPr>
        <w:pStyle w:val="ListParagraph"/>
        <w:numPr>
          <w:ilvl w:val="0"/>
          <w:numId w:val="2"/>
        </w:numPr>
        <w:spacing w:after="40" w:before="40"/>
      </w:pPr>
      <w:r>
        <w:rPr>
          <w:rFonts w:ascii="Inter" w:cs="Inter" w:eastAsia="Inter" w:hAnsi="Inter"/>
          <w:b w:val="false"/>
          <w:bCs w:val="false"/>
          <w:color w:val="334155"/>
          <w:sz w:val="22"/>
          <w:szCs w:val="22"/>
        </w:rPr>
        <w:t xml:space="preserve">Eventos de mantenimiento de infraestructura de comunicaciones (cortes ISP regionales de 24-48h documentados por MinTIC).</w:t>
      </w:r>
    </w:p>
    <w:p>
      <w:pPr>
        <w:pStyle w:val="ListParagraph"/>
        <w:numPr>
          <w:ilvl w:val="0"/>
          <w:numId w:val="2"/>
        </w:numPr>
        <w:spacing w:after="40" w:before="40"/>
      </w:pPr>
      <w:r>
        <w:rPr>
          <w:rFonts w:ascii="Inter" w:cs="Inter" w:eastAsia="Inter" w:hAnsi="Inter"/>
          <w:b w:val="false"/>
          <w:bCs w:val="false"/>
          <w:color w:val="334155"/>
          <w:sz w:val="22"/>
          <w:szCs w:val="22"/>
        </w:rPr>
        <w:t xml:space="preserve">Granjas itinerantes (estanques móviles tipo bioflock) donde el dispositivo está físicamente lejos del punto de red por días.</w:t>
      </w:r>
    </w:p>
    <w:p>
      <w:pPr>
        <w:spacing w:after="80" w:before="60"/>
      </w:pPr>
      <w:r>
        <w:rPr>
          <w:rFonts w:ascii="Inter" w:cs="Inter" w:eastAsia="Inter" w:hAnsi="Inter"/>
          <w:color w:val="334155"/>
          <w:sz w:val="22"/>
          <w:szCs w:val="22"/>
        </w:rPr>
        <w:t xml:space="preserve">Bloquear operaciones por 24h+ en estos contextos genera pérdida de datos críticos: el operario simplemente no registra eventos, deteriorando la calidad de las series temporales del observatorio nacional acuícola.</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A.2. Nueva Política de Vigencia Extendida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Token / Estado</w:t>
            </w:r>
          </w:p>
        </w:tc>
        <w:tc>
          <w:tcPr>
            <w:tcW w:type="dxa" w:w="15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Vigencia Anterior</w:t>
            </w:r>
          </w:p>
        </w:tc>
        <w:tc>
          <w:tcPr>
            <w:tcW w:type="dxa" w:w="15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Vigencia Nueva</w:t>
            </w:r>
          </w:p>
        </w:tc>
        <w:tc>
          <w:tcPr>
            <w:tcW w:type="dxa" w:w="41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Comportamiento</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Access Token (JWT)</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4h</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4h (igual)</w:t>
            </w:r>
          </w:p>
        </w:tc>
        <w:tc>
          <w:tcPr>
            <w:tcW w:type="dxa" w:w="4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Sin cambio. Renovación silenciosa cuando hay red.</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Refresh Token</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18h</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18h (igual)</w:t>
            </w:r>
          </w:p>
        </w:tc>
        <w:tc>
          <w:tcPr>
            <w:tcW w:type="dxa" w:w="4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Sin cambio. Cubre turno extendido + sincronización.</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Snapshot Token (Modo Estándar)</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24h</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24h</w:t>
            </w:r>
          </w:p>
        </w:tc>
        <w:tc>
          <w:tcPr>
            <w:tcW w:type="dxa" w:w="4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Default para tenants urbanos/peri-urbanos con buena conectividad.</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Snapshot Token (Modo Remoto)</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N/A</w:t>
            </w:r>
          </w:p>
        </w:tc>
        <w:tc>
          <w:tcPr>
            <w:tcW w:type="dxa" w:w="15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48h</w:t>
            </w:r>
          </w:p>
        </w:tc>
        <w:tc>
          <w:tcPr>
            <w:tcW w:type="dxa" w:w="4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Habilitado por configuración del Super Admin para tenants en zonas remotas.</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Snapshot Token (Modo Itinerante)</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N/A</w:t>
            </w:r>
          </w:p>
        </w:tc>
        <w:tc>
          <w:tcPr>
            <w:tcW w:type="dxa" w:w="15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72h</w:t>
            </w:r>
          </w:p>
        </w:tc>
        <w:tc>
          <w:tcPr>
            <w:tcW w:type="dxa" w:w="4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Solo para clientes específicos con flota de bioflock móvil. Requiere aprobación contractual.</w:t>
            </w:r>
          </w:p>
        </w:tc>
      </w:tr>
    </w:tbl>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A.3. Configuración a Nivel de Tenant</w:t>
      </w:r>
    </w:p>
    <w:p>
      <w:pPr>
        <w:shd w:fill="1E2A3A" w:val="clear"/>
        <w:spacing w:after="80" w:before="80"/>
        <w:ind w:left="360"/>
      </w:pPr>
      <w:r>
        <w:rPr>
          <w:rFonts w:ascii="Courier New" w:cs="Courier New" w:eastAsia="Courier New" w:hAnsi="Courier New"/>
          <w:color w:val="45C4B0"/>
          <w:sz w:val="18"/>
          <w:szCs w:val="18"/>
        </w:rPr>
        <w:t xml:space="preserve">-- Nueva columna en tabla tenant</w:t>
      </w:r>
    </w:p>
    <w:p>
      <w:pPr>
        <w:shd w:fill="1E2A3A" w:val="clear"/>
        <w:spacing w:after="80" w:before="80"/>
        <w:ind w:left="360"/>
      </w:pPr>
      <w:r>
        <w:rPr>
          <w:rFonts w:ascii="Courier New" w:cs="Courier New" w:eastAsia="Courier New" w:hAnsi="Courier New"/>
          <w:color w:val="45C4B0"/>
          <w:sz w:val="18"/>
          <w:szCs w:val="18"/>
        </w:rPr>
        <w:t xml:space="preserve">ALTER TABLE tenant ADD COLUMN</w:t>
      </w:r>
    </w:p>
    <w:p>
      <w:pPr>
        <w:shd w:fill="1E2A3A" w:val="clear"/>
        <w:spacing w:after="80" w:before="80"/>
        <w:ind w:left="360"/>
      </w:pPr>
      <w:r>
        <w:rPr>
          <w:rFonts w:ascii="Courier New" w:cs="Courier New" w:eastAsia="Courier New" w:hAnsi="Courier New"/>
          <w:color w:val="45C4B0"/>
          <w:sz w:val="18"/>
          <w:szCs w:val="18"/>
        </w:rPr>
        <w:t xml:space="preserve">  perfil_conectividad VARCHAR(20) NOT NULL DEFAULT 'estandar'</w:t>
      </w:r>
    </w:p>
    <w:p>
      <w:pPr>
        <w:shd w:fill="1E2A3A" w:val="clear"/>
        <w:spacing w:after="80" w:before="80"/>
        <w:ind w:left="360"/>
      </w:pPr>
      <w:r>
        <w:rPr>
          <w:rFonts w:ascii="Courier New" w:cs="Courier New" w:eastAsia="Courier New" w:hAnsi="Courier New"/>
          <w:color w:val="45C4B0"/>
          <w:sz w:val="18"/>
          <w:szCs w:val="18"/>
        </w:rPr>
        <w:t xml:space="preserve">  CHECK (perfil_conectividad IN ('estandar','remoto','itinerante')),</w:t>
      </w:r>
    </w:p>
    <w:p>
      <w:pPr>
        <w:shd w:fill="1E2A3A" w:val="clear"/>
        <w:spacing w:after="80" w:before="80"/>
        <w:ind w:left="360"/>
      </w:pPr>
      <w:r>
        <w:rPr>
          <w:rFonts w:ascii="Courier New" w:cs="Courier New" w:eastAsia="Courier New" w:hAnsi="Courier New"/>
          <w:color w:val="45C4B0"/>
          <w:sz w:val="18"/>
          <w:szCs w:val="18"/>
        </w:rPr>
        <w:t xml:space="preserve">  vigencia_snapshot_horas INT NOT NULL DEFAULT 24</w:t>
      </w:r>
    </w:p>
    <w:p>
      <w:pPr>
        <w:shd w:fill="1E2A3A" w:val="clear"/>
        <w:spacing w:after="80" w:before="80"/>
        <w:ind w:left="360"/>
      </w:pPr>
      <w:r>
        <w:rPr>
          <w:rFonts w:ascii="Courier New" w:cs="Courier New" w:eastAsia="Courier New" w:hAnsi="Courier New"/>
          <w:color w:val="45C4B0"/>
          <w:sz w:val="18"/>
          <w:szCs w:val="18"/>
        </w:rPr>
        <w:t xml:space="preserve">  CHECK (vigencia_snapshot_horas IN (24, 48, 72));</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Trigger de validación: solo Super Admin puede cambiar a modo remoto/itinerante</w:t>
      </w:r>
    </w:p>
    <w:p>
      <w:pPr>
        <w:shd w:fill="1E2A3A" w:val="clear"/>
        <w:spacing w:after="80" w:before="80"/>
        <w:ind w:left="360"/>
      </w:pPr>
      <w:r>
        <w:rPr>
          <w:rFonts w:ascii="Courier New" w:cs="Courier New" w:eastAsia="Courier New" w:hAnsi="Courier New"/>
          <w:color w:val="45C4B0"/>
          <w:sz w:val="18"/>
          <w:szCs w:val="18"/>
        </w:rPr>
        <w:t xml:space="preserve">CREATE OR REPLACE FUNCTION validar_cambio_perfil_conectividad()</w:t>
      </w:r>
    </w:p>
    <w:p>
      <w:pPr>
        <w:shd w:fill="1E2A3A" w:val="clear"/>
        <w:spacing w:after="80" w:before="80"/>
        <w:ind w:left="360"/>
      </w:pPr>
      <w:r>
        <w:rPr>
          <w:rFonts w:ascii="Courier New" w:cs="Courier New" w:eastAsia="Courier New" w:hAnsi="Courier New"/>
          <w:color w:val="45C4B0"/>
          <w:sz w:val="18"/>
          <w:szCs w:val="18"/>
        </w:rPr>
        <w:t xml:space="preserve">RETURNS TRIGGER AS $$</w:t>
      </w:r>
    </w:p>
    <w:p>
      <w:pPr>
        <w:shd w:fill="1E2A3A" w:val="clear"/>
        <w:spacing w:after="80" w:before="80"/>
        <w:ind w:left="360"/>
      </w:pPr>
      <w:r>
        <w:rPr>
          <w:rFonts w:ascii="Courier New" w:cs="Courier New" w:eastAsia="Courier New" w:hAnsi="Courier New"/>
          <w:color w:val="45C4B0"/>
          <w:sz w:val="18"/>
          <w:szCs w:val="18"/>
        </w:rPr>
        <w:t xml:space="preserve">BEGIN</w:t>
      </w:r>
    </w:p>
    <w:p>
      <w:pPr>
        <w:shd w:fill="1E2A3A" w:val="clear"/>
        <w:spacing w:after="80" w:before="80"/>
        <w:ind w:left="360"/>
      </w:pPr>
      <w:r>
        <w:rPr>
          <w:rFonts w:ascii="Courier New" w:cs="Courier New" w:eastAsia="Courier New" w:hAnsi="Courier New"/>
          <w:color w:val="45C4B0"/>
          <w:sz w:val="18"/>
          <w:szCs w:val="18"/>
        </w:rPr>
        <w:t xml:space="preserve">  IF OLD.perfil_conectividad != NEW.perfil_conectividad THEN</w:t>
      </w:r>
    </w:p>
    <w:p>
      <w:pPr>
        <w:shd w:fill="1E2A3A" w:val="clear"/>
        <w:spacing w:after="80" w:before="80"/>
        <w:ind w:left="360"/>
      </w:pPr>
      <w:r>
        <w:rPr>
          <w:rFonts w:ascii="Courier New" w:cs="Courier New" w:eastAsia="Courier New" w:hAnsi="Courier New"/>
          <w:color w:val="45C4B0"/>
          <w:sz w:val="18"/>
          <w:szCs w:val="18"/>
        </w:rPr>
        <w:t xml:space="preserve">    IF NOT EXISTS (</w:t>
      </w:r>
    </w:p>
    <w:p>
      <w:pPr>
        <w:shd w:fill="1E2A3A" w:val="clear"/>
        <w:spacing w:after="80" w:before="80"/>
        <w:ind w:left="360"/>
      </w:pPr>
      <w:r>
        <w:rPr>
          <w:rFonts w:ascii="Courier New" w:cs="Courier New" w:eastAsia="Courier New" w:hAnsi="Courier New"/>
          <w:color w:val="45C4B0"/>
          <w:sz w:val="18"/>
          <w:szCs w:val="18"/>
        </w:rPr>
        <w:t xml:space="preserve">      SELECT 1 FROM usuario u WHERE u.id_usuario = current_setting('app.user_id')::uuid</w:t>
      </w:r>
    </w:p>
    <w:p>
      <w:pPr>
        <w:shd w:fill="1E2A3A" w:val="clear"/>
        <w:spacing w:after="80" w:before="80"/>
        <w:ind w:left="360"/>
      </w:pPr>
      <w:r>
        <w:rPr>
          <w:rFonts w:ascii="Courier New" w:cs="Courier New" w:eastAsia="Courier New" w:hAnsi="Courier New"/>
          <w:color w:val="45C4B0"/>
          <w:sz w:val="18"/>
          <w:szCs w:val="18"/>
        </w:rPr>
        <w:t xml:space="preserve">      AND u.id_rol IN (SELECT id_rol FROM rol WHERE codigo_rol = 'SUPER_ADMIN')</w:t>
      </w:r>
    </w:p>
    <w:p>
      <w:pPr>
        <w:shd w:fill="1E2A3A" w:val="clear"/>
        <w:spacing w:after="80" w:before="80"/>
        <w:ind w:left="360"/>
      </w:pPr>
      <w:r>
        <w:rPr>
          <w:rFonts w:ascii="Courier New" w:cs="Courier New" w:eastAsia="Courier New" w:hAnsi="Courier New"/>
          <w:color w:val="45C4B0"/>
          <w:sz w:val="18"/>
          <w:szCs w:val="18"/>
        </w:rPr>
        <w:t xml:space="preserve">    ) THEN</w:t>
      </w:r>
    </w:p>
    <w:p>
      <w:pPr>
        <w:shd w:fill="1E2A3A" w:val="clear"/>
        <w:spacing w:after="80" w:before="80"/>
        <w:ind w:left="360"/>
      </w:pPr>
      <w:r>
        <w:rPr>
          <w:rFonts w:ascii="Courier New" w:cs="Courier New" w:eastAsia="Courier New" w:hAnsi="Courier New"/>
          <w:color w:val="45C4B0"/>
          <w:sz w:val="18"/>
          <w:szCs w:val="18"/>
        </w:rPr>
        <w:t xml:space="preserve">      RAISE EXCEPTION 'Solo Super Admin puede modificar el perfil de conectividad';</w:t>
      </w:r>
    </w:p>
    <w:p>
      <w:pPr>
        <w:shd w:fill="1E2A3A" w:val="clear"/>
        <w:spacing w:after="80" w:before="80"/>
        <w:ind w:left="360"/>
      </w:pPr>
      <w:r>
        <w:rPr>
          <w:rFonts w:ascii="Courier New" w:cs="Courier New" w:eastAsia="Courier New" w:hAnsi="Courier New"/>
          <w:color w:val="45C4B0"/>
          <w:sz w:val="18"/>
          <w:szCs w:val="18"/>
        </w:rPr>
        <w:t xml:space="preserve">    END IF;</w:t>
      </w:r>
    </w:p>
    <w:p>
      <w:pPr>
        <w:shd w:fill="1E2A3A" w:val="clear"/>
        <w:spacing w:after="80" w:before="80"/>
        <w:ind w:left="360"/>
      </w:pPr>
      <w:r>
        <w:rPr>
          <w:rFonts w:ascii="Courier New" w:cs="Courier New" w:eastAsia="Courier New" w:hAnsi="Courier New"/>
          <w:color w:val="45C4B0"/>
          <w:sz w:val="18"/>
          <w:szCs w:val="18"/>
        </w:rPr>
        <w:t xml:space="preserve">  END IF;</w:t>
      </w:r>
    </w:p>
    <w:p>
      <w:pPr>
        <w:shd w:fill="1E2A3A" w:val="clear"/>
        <w:spacing w:after="80" w:before="80"/>
        <w:ind w:left="360"/>
      </w:pPr>
      <w:r>
        <w:rPr>
          <w:rFonts w:ascii="Courier New" w:cs="Courier New" w:eastAsia="Courier New" w:hAnsi="Courier New"/>
          <w:color w:val="45C4B0"/>
          <w:sz w:val="18"/>
          <w:szCs w:val="18"/>
        </w:rPr>
        <w:t xml:space="preserve">  RETURN NEW;</w:t>
      </w:r>
    </w:p>
    <w:p>
      <w:pPr>
        <w:shd w:fill="1E2A3A" w:val="clear"/>
        <w:spacing w:after="80" w:before="80"/>
        <w:ind w:left="360"/>
      </w:pPr>
      <w:r>
        <w:rPr>
          <w:rFonts w:ascii="Courier New" w:cs="Courier New" w:eastAsia="Courier New" w:hAnsi="Courier New"/>
          <w:color w:val="45C4B0"/>
          <w:sz w:val="18"/>
          <w:szCs w:val="18"/>
        </w:rPr>
        <w:t xml:space="preserve">END;</w:t>
      </w:r>
    </w:p>
    <w:p>
      <w:pPr>
        <w:shd w:fill="1E2A3A" w:val="clear"/>
        <w:spacing w:after="80" w:before="80"/>
        <w:ind w:left="360"/>
      </w:pPr>
      <w:r>
        <w:rPr>
          <w:rFonts w:ascii="Courier New" w:cs="Courier New" w:eastAsia="Courier New" w:hAnsi="Courier New"/>
          <w:color w:val="45C4B0"/>
          <w:sz w:val="18"/>
          <w:szCs w:val="18"/>
        </w:rPr>
        <w:t xml:space="preserve">$$ LANGUAGE plpgsql;</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A.4. Comportamiento de Degradación Progresiva</w:t>
      </w:r>
    </w:p>
    <w:p>
      <w:pPr>
        <w:spacing w:after="80" w:before="60"/>
      </w:pPr>
      <w:r>
        <w:rPr>
          <w:rFonts w:ascii="Inter" w:cs="Inter" w:eastAsia="Inter" w:hAnsi="Inter"/>
          <w:color w:val="334155"/>
          <w:sz w:val="22"/>
          <w:szCs w:val="22"/>
        </w:rPr>
        <w:t xml:space="preserve">Cuando el Snapshot Token entra en zona de advertencia (a 4 horas de expirar), la app móvil despliega un banner persistente que escala visualmente: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Tiempo restante</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Color del banner</w:t>
            </w:r>
          </w:p>
        </w:tc>
        <w:tc>
          <w:tcPr>
            <w:tcW w:type="dxa" w:w="53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Mensaje al operario</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&gt; 50% vigencia</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Verde</w:t>
            </w:r>
          </w:p>
        </w:tc>
        <w:tc>
          <w:tcPr>
            <w:tcW w:type="dxa" w:w="5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Datos sincronizados al día. Sin acción requerida.</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25%–50% vigencia</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Amarillo</w:t>
            </w:r>
          </w:p>
        </w:tc>
        <w:tc>
          <w:tcPr>
            <w:tcW w:type="dxa" w:w="5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Recomendado: sincronizar pronto. Quedan X horas.</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10%–25% vigencia</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Naranja</w:t>
            </w:r>
          </w:p>
        </w:tc>
        <w:tc>
          <w:tcPr>
            <w:tcW w:type="dxa" w:w="5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Atención: sincronice en cuanto encuentre red. Quedan X horas.</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&lt; 10% vigencia</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Rojo</w:t>
            </w:r>
          </w:p>
        </w:tc>
        <w:tc>
          <w:tcPr>
            <w:tcW w:type="dxa" w:w="5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CRÍTICO: el snapshot expirará pronto. Las nuevas escrituras quedarán bloqueadas.</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Expirado</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Rojo intermitente</w:t>
            </w:r>
          </w:p>
        </w:tc>
        <w:tc>
          <w:tcPr>
            <w:tcW w:type="dxa" w:w="5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BLOQUEADO: Snapshot vencido. Solo lectura permitida hasta sincronizar.</w:t>
            </w:r>
          </w:p>
        </w:tc>
      </w:tr>
    </w:tbl>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A.5. Modo de Emergencia (Override Local)</w:t>
      </w:r>
    </w:p>
    <w:p>
      <w:pPr>
        <w:spacing w:after="80" w:before="60"/>
      </w:pPr>
      <w:r>
        <w:rPr>
          <w:rFonts w:ascii="Inter" w:cs="Inter" w:eastAsia="Inter" w:hAnsi="Inter"/>
          <w:color w:val="334155"/>
          <w:sz w:val="22"/>
          <w:szCs w:val="22"/>
        </w:rPr>
        <w:t xml:space="preserve">Cuando el Snapshot Token expira pero el operario detecta una emergencia biológica (ej. mortalidad masiva en curso, parámetro CTQ crítico), el sistema permite un Modo de Emergencia limitado:</w:t>
      </w:r>
    </w:p>
    <w:p>
      <w:pPr>
        <w:pStyle w:val="ListParagraph"/>
        <w:numPr>
          <w:ilvl w:val="0"/>
          <w:numId w:val="2"/>
        </w:numPr>
        <w:spacing w:after="40" w:before="40"/>
      </w:pPr>
      <w:r>
        <w:rPr>
          <w:rFonts w:ascii="Inter" w:cs="Inter" w:eastAsia="Inter" w:hAnsi="Inter"/>
          <w:b w:val="false"/>
          <w:bCs w:val="false"/>
          <w:color w:val="334155"/>
          <w:sz w:val="22"/>
          <w:szCs w:val="22"/>
        </w:rPr>
        <w:t xml:space="preserve">Solo permite registrar mortalidades y mediciones de calidad de agua (no alimentación, no insumos).</w:t>
      </w:r>
    </w:p>
    <w:p>
      <w:pPr>
        <w:pStyle w:val="ListParagraph"/>
        <w:numPr>
          <w:ilvl w:val="0"/>
          <w:numId w:val="2"/>
        </w:numPr>
        <w:spacing w:after="40" w:before="40"/>
      </w:pPr>
      <w:r>
        <w:rPr>
          <w:rFonts w:ascii="Inter" w:cs="Inter" w:eastAsia="Inter" w:hAnsi="Inter"/>
          <w:b w:val="false"/>
          <w:bCs w:val="false"/>
          <w:color w:val="334155"/>
          <w:sz w:val="22"/>
          <w:szCs w:val="22"/>
        </w:rPr>
        <w:t xml:space="preserve">Marca todos los registros con flag emergencia_offline = TRUE.</w:t>
      </w:r>
    </w:p>
    <w:p>
      <w:pPr>
        <w:pStyle w:val="ListParagraph"/>
        <w:numPr>
          <w:ilvl w:val="0"/>
          <w:numId w:val="2"/>
        </w:numPr>
        <w:spacing w:after="40" w:before="40"/>
      </w:pPr>
      <w:r>
        <w:rPr>
          <w:rFonts w:ascii="Inter" w:cs="Inter" w:eastAsia="Inter" w:hAnsi="Inter"/>
          <w:b w:val="false"/>
          <w:bCs w:val="false"/>
          <w:color w:val="334155"/>
          <w:sz w:val="22"/>
          <w:szCs w:val="22"/>
        </w:rPr>
        <w:t xml:space="preserve">Requiere validación manual del Coordinador en el siguiente sync.</w:t>
      </w:r>
    </w:p>
    <w:p>
      <w:pPr>
        <w:pStyle w:val="ListParagraph"/>
        <w:numPr>
          <w:ilvl w:val="0"/>
          <w:numId w:val="2"/>
        </w:numPr>
        <w:spacing w:after="40" w:before="40"/>
      </w:pPr>
      <w:r>
        <w:rPr>
          <w:rFonts w:ascii="Inter" w:cs="Inter" w:eastAsia="Inter" w:hAnsi="Inter"/>
          <w:b w:val="false"/>
          <w:bCs w:val="false"/>
          <w:color w:val="334155"/>
          <w:sz w:val="22"/>
          <w:szCs w:val="22"/>
        </w:rPr>
        <w:t xml:space="preserve">Vigencia máxima del modo emergencia: 12 horas adicionales.</w:t>
      </w:r>
    </w:p>
    <w:p>
      <w:pPr>
        <w:pStyle w:val="ListParagraph"/>
        <w:numPr>
          <w:ilvl w:val="0"/>
          <w:numId w:val="2"/>
        </w:numPr>
        <w:spacing w:after="40" w:before="40"/>
      </w:pPr>
      <w:r>
        <w:rPr>
          <w:rFonts w:ascii="Inter" w:cs="Inter" w:eastAsia="Inter" w:hAnsi="Inter"/>
          <w:b w:val="false"/>
          <w:bCs w:val="false"/>
          <w:color w:val="334155"/>
          <w:sz w:val="22"/>
          <w:szCs w:val="22"/>
        </w:rPr>
        <w:t xml:space="preserve">Se notifica al Super Admin del tenant vía email/SMS al detectar uso del modo emergencia.</w:t>
      </w:r>
    </w:p>
    <w:p>
      <w:pPr>
        <w:shd w:fill="1E2A3A" w:val="clear"/>
        <w:spacing w:after="80" w:before="80"/>
        <w:ind w:left="360"/>
      </w:pPr>
      <w:r>
        <w:rPr>
          <w:rFonts w:ascii="Courier New" w:cs="Courier New" w:eastAsia="Courier New" w:hAnsi="Courier New"/>
          <w:color w:val="45C4B0"/>
          <w:sz w:val="18"/>
          <w:szCs w:val="18"/>
        </w:rPr>
        <w:t xml:space="preserve">// emergencyModeService.ts</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export async function activarModoEmergencia(</w:t>
      </w:r>
    </w:p>
    <w:p>
      <w:pPr>
        <w:shd w:fill="1E2A3A" w:val="clear"/>
        <w:spacing w:after="80" w:before="80"/>
        <w:ind w:left="360"/>
      </w:pPr>
      <w:r>
        <w:rPr>
          <w:rFonts w:ascii="Courier New" w:cs="Courier New" w:eastAsia="Courier New" w:hAnsi="Courier New"/>
          <w:color w:val="45C4B0"/>
          <w:sz w:val="18"/>
          <w:szCs w:val="18"/>
        </w:rPr>
        <w:t xml:space="preserve">  motivo: string,</w:t>
      </w:r>
    </w:p>
    <w:p>
      <w:pPr>
        <w:shd w:fill="1E2A3A" w:val="clear"/>
        <w:spacing w:after="80" w:before="80"/>
        <w:ind w:left="360"/>
      </w:pPr>
      <w:r>
        <w:rPr>
          <w:rFonts w:ascii="Courier New" w:cs="Courier New" w:eastAsia="Courier New" w:hAnsi="Courier New"/>
          <w:color w:val="45C4B0"/>
          <w:sz w:val="18"/>
          <w:szCs w:val="18"/>
        </w:rPr>
        <w:t xml:space="preserve">  ubicacion: GeoPoint</w:t>
      </w:r>
    </w:p>
    <w:p>
      <w:pPr>
        <w:shd w:fill="1E2A3A" w:val="clear"/>
        <w:spacing w:after="80" w:before="80"/>
        <w:ind w:left="360"/>
      </w:pPr>
      <w:r>
        <w:rPr>
          <w:rFonts w:ascii="Courier New" w:cs="Courier New" w:eastAsia="Courier New" w:hAnsi="Courier New"/>
          <w:color w:val="45C4B0"/>
          <w:sz w:val="18"/>
          <w:szCs w:val="18"/>
        </w:rPr>
        <w:t xml:space="preserve">): Promise&lt;EmergencySession&gt; {</w:t>
      </w:r>
    </w:p>
    <w:p>
      <w:pPr>
        <w:shd w:fill="1E2A3A" w:val="clear"/>
        <w:spacing w:after="80" w:before="80"/>
        <w:ind w:left="360"/>
      </w:pPr>
      <w:r>
        <w:rPr>
          <w:rFonts w:ascii="Courier New" w:cs="Courier New" w:eastAsia="Courier New" w:hAnsi="Courier New"/>
          <w:color w:val="45C4B0"/>
          <w:sz w:val="18"/>
          <w:szCs w:val="18"/>
        </w:rPr>
        <w:t xml:space="preserve">  const expiry = new Date(Date.now() + 12 * 3600 * 1000);</w:t>
      </w:r>
    </w:p>
    <w:p>
      <w:pPr>
        <w:shd w:fill="1E2A3A" w:val="clear"/>
        <w:spacing w:after="80" w:before="80"/>
        <w:ind w:left="360"/>
      </w:pPr>
      <w:r>
        <w:rPr>
          <w:rFonts w:ascii="Courier New" w:cs="Courier New" w:eastAsia="Courier New" w:hAnsi="Courier New"/>
          <w:color w:val="45C4B0"/>
          <w:sz w:val="18"/>
          <w:szCs w:val="18"/>
        </w:rPr>
        <w:t xml:space="preserve">  const session: EmergencySession = {</w:t>
      </w:r>
    </w:p>
    <w:p>
      <w:pPr>
        <w:shd w:fill="1E2A3A" w:val="clear"/>
        <w:spacing w:after="80" w:before="80"/>
        <w:ind w:left="360"/>
      </w:pPr>
      <w:r>
        <w:rPr>
          <w:rFonts w:ascii="Courier New" w:cs="Courier New" w:eastAsia="Courier New" w:hAnsi="Courier New"/>
          <w:color w:val="45C4B0"/>
          <w:sz w:val="18"/>
          <w:szCs w:val="18"/>
        </w:rPr>
        <w:t xml:space="preserve">    id: uuidv4(),</w:t>
      </w:r>
    </w:p>
    <w:p>
      <w:pPr>
        <w:shd w:fill="1E2A3A" w:val="clear"/>
        <w:spacing w:after="80" w:before="80"/>
        <w:ind w:left="360"/>
      </w:pPr>
      <w:r>
        <w:rPr>
          <w:rFonts w:ascii="Courier New" w:cs="Courier New" w:eastAsia="Courier New" w:hAnsi="Courier New"/>
          <w:color w:val="45C4B0"/>
          <w:sz w:val="18"/>
          <w:szCs w:val="18"/>
        </w:rPr>
        <w:t xml:space="preserve">    activated_at: new Date().toISOString(),</w:t>
      </w:r>
    </w:p>
    <w:p>
      <w:pPr>
        <w:shd w:fill="1E2A3A" w:val="clear"/>
        <w:spacing w:after="80" w:before="80"/>
        <w:ind w:left="360"/>
      </w:pPr>
      <w:r>
        <w:rPr>
          <w:rFonts w:ascii="Courier New" w:cs="Courier New" w:eastAsia="Courier New" w:hAnsi="Courier New"/>
          <w:color w:val="45C4B0"/>
          <w:sz w:val="18"/>
          <w:szCs w:val="18"/>
        </w:rPr>
        <w:t xml:space="preserve">    expires_at: expiry.toISOString(),</w:t>
      </w:r>
    </w:p>
    <w:p>
      <w:pPr>
        <w:shd w:fill="1E2A3A" w:val="clear"/>
        <w:spacing w:after="80" w:before="80"/>
        <w:ind w:left="360"/>
      </w:pPr>
      <w:r>
        <w:rPr>
          <w:rFonts w:ascii="Courier New" w:cs="Courier New" w:eastAsia="Courier New" w:hAnsi="Courier New"/>
          <w:color w:val="45C4B0"/>
          <w:sz w:val="18"/>
          <w:szCs w:val="18"/>
        </w:rPr>
        <w:t xml:space="preserve">    motivo,</w:t>
      </w:r>
    </w:p>
    <w:p>
      <w:pPr>
        <w:shd w:fill="1E2A3A" w:val="clear"/>
        <w:spacing w:after="80" w:before="80"/>
        <w:ind w:left="360"/>
      </w:pPr>
      <w:r>
        <w:rPr>
          <w:rFonts w:ascii="Courier New" w:cs="Courier New" w:eastAsia="Courier New" w:hAnsi="Courier New"/>
          <w:color w:val="45C4B0"/>
          <w:sz w:val="18"/>
          <w:szCs w:val="18"/>
        </w:rPr>
        <w:t xml:space="preserve">    ubicacion,</w:t>
      </w:r>
    </w:p>
    <w:p>
      <w:pPr>
        <w:shd w:fill="1E2A3A" w:val="clear"/>
        <w:spacing w:after="80" w:before="80"/>
        <w:ind w:left="360"/>
      </w:pPr>
      <w:r>
        <w:rPr>
          <w:rFonts w:ascii="Courier New" w:cs="Courier New" w:eastAsia="Courier New" w:hAnsi="Courier New"/>
          <w:color w:val="45C4B0"/>
          <w:sz w:val="18"/>
          <w:szCs w:val="18"/>
        </w:rPr>
        <w:t xml:space="preserve">    eventos_permitidos: ['mortalidad', 'calidad_agua'],</w:t>
      </w:r>
    </w:p>
    <w:p>
      <w:pPr>
        <w:shd w:fill="1E2A3A" w:val="clear"/>
        <w:spacing w:after="80" w:before="80"/>
        <w:ind w:left="360"/>
      </w:pPr>
      <w:r>
        <w:rPr>
          <w:rFonts w:ascii="Courier New" w:cs="Courier New" w:eastAsia="Courier New" w:hAnsi="Courier New"/>
          <w:color w:val="45C4B0"/>
          <w:sz w:val="18"/>
          <w:szCs w:val="18"/>
        </w:rPr>
        <w:t xml:space="preserve">    requiere_validacion_coordinador: true</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await SecureStore.setItemAsync('emergency_session', JSON.stringify(session));</w:t>
      </w:r>
    </w:p>
    <w:p>
      <w:pPr>
        <w:shd w:fill="1E2A3A" w:val="clear"/>
        <w:spacing w:after="80" w:before="80"/>
        <w:ind w:left="360"/>
      </w:pPr>
      <w:r>
        <w:rPr>
          <w:rFonts w:ascii="Courier New" w:cs="Courier New" w:eastAsia="Courier New" w:hAnsi="Courier New"/>
          <w:color w:val="45C4B0"/>
          <w:sz w:val="18"/>
          <w:szCs w:val="18"/>
        </w:rPr>
        <w:t xml:space="preserve">  return session;</w:t>
      </w:r>
    </w:p>
    <w:p>
      <w:pPr>
        <w:shd w:fill="1E2A3A" w:val="clear"/>
        <w:spacing w:after="80" w:before="80"/>
        <w:ind w:left="360"/>
      </w:pPr>
      <w:r>
        <w:rPr>
          <w:rFonts w:ascii="Courier New" w:cs="Courier New" w:eastAsia="Courier New" w:hAnsi="Courier New"/>
          <w:color w:val="45C4B0"/>
          <w:sz w:val="18"/>
          <w:szCs w:val="18"/>
        </w:rPr>
        <w:t xml:space="preserve">}</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PARTE B — Gobernanza del Catálogo de Insumos Sanitarios</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B.1. Justificación</w:t>
      </w:r>
    </w:p>
    <w:p>
      <w:pPr>
        <w:spacing w:after="80" w:before="60"/>
      </w:pPr>
      <w:r>
        <w:rPr>
          <w:rFonts w:ascii="Inter" w:cs="Inter" w:eastAsia="Inter" w:hAnsi="Inter"/>
          <w:color w:val="334155"/>
          <w:sz w:val="22"/>
          <w:szCs w:val="22"/>
        </w:rPr>
        <w:t xml:space="preserve">El TDD-007 Parte B definió las tablas insumo_sanitario y registro_aplicacion_insumo, pero no especificó quién está autorizado a crear, modificar o desactivar entradas en el catálogo. Esta omisión genera dos riesgos: contaminación del catálogo con productos sin registro ICA válido (riesgo legal), y proliferación de duplicados con nombres comerciales distintos para el mismo principio activo (riesgo de calidad de datos analíticos).</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B.2. Modelo de Catálogo de Dos Niveles</w:t>
      </w:r>
    </w:p>
    <w:p>
      <w:pPr>
        <w:spacing w:after="80" w:before="60"/>
      </w:pPr>
      <w:r>
        <w:rPr>
          <w:rFonts w:ascii="Inter" w:cs="Inter" w:eastAsia="Inter" w:hAnsi="Inter"/>
          <w:color w:val="334155"/>
          <w:sz w:val="22"/>
          <w:szCs w:val="22"/>
        </w:rPr>
        <w:t xml:space="preserve">Aquashell implementa un catálogo jerárquico de dos niveles:</w:t>
      </w:r>
    </w:p>
    <w:p>
      <w:pPr>
        <w:pStyle w:val="ListParagraph"/>
        <w:numPr>
          <w:ilvl w:val="0"/>
          <w:numId w:val="2"/>
        </w:numPr>
        <w:spacing w:after="40" w:before="40"/>
      </w:pPr>
      <w:r>
        <w:rPr>
          <w:rFonts w:ascii="Inter" w:cs="Inter" w:eastAsia="Inter" w:hAnsi="Inter"/>
          <w:b/>
          <w:bCs/>
          <w:color w:val="334155"/>
          <w:sz w:val="22"/>
          <w:szCs w:val="22"/>
        </w:rPr>
        <w:t xml:space="preserve">Catálogo Maestro Global: gestionado exclusivamente por el Super Admin de Aquashell. Contiene insumos validados con registro ICA verificado. Es de solo lectura para todos los tenants.</w:t>
      </w:r>
    </w:p>
    <w:p>
      <w:pPr>
        <w:pStyle w:val="ListParagraph"/>
        <w:numPr>
          <w:ilvl w:val="0"/>
          <w:numId w:val="2"/>
        </w:numPr>
        <w:spacing w:after="40" w:before="40"/>
      </w:pPr>
      <w:r>
        <w:rPr>
          <w:rFonts w:ascii="Inter" w:cs="Inter" w:eastAsia="Inter" w:hAnsi="Inter"/>
          <w:b/>
          <w:bCs/>
          <w:color w:val="334155"/>
          <w:sz w:val="22"/>
          <w:szCs w:val="22"/>
        </w:rPr>
        <w:t xml:space="preserve">Catálogo Local del Tenant: cada tenant puede agregar insumos específicos de su operación. Estos requieren aprobación del Gerente del tenant, y si carecen de registro ICA, son marcados como "Uso bajo responsabilidad del productor".</w:t>
      </w:r>
    </w:p>
    <w:p>
      <w:pPr>
        <w:spacing w:after="120" w:before="120"/>
      </w:pPr>
      <w:r>
        <w:t xml:space="preserve"/>
      </w:r>
    </w:p>
    <w:p>
      <w:pPr>
        <w:shd w:fill="1E2A3A" w:val="clear"/>
        <w:spacing w:after="80" w:before="80"/>
        <w:ind w:left="360"/>
      </w:pPr>
      <w:r>
        <w:rPr>
          <w:rFonts w:ascii="Courier New" w:cs="Courier New" w:eastAsia="Courier New" w:hAnsi="Courier New"/>
          <w:color w:val="45C4B0"/>
          <w:sz w:val="18"/>
          <w:szCs w:val="18"/>
        </w:rPr>
        <w:t xml:space="preserve">-- Modificación a la tabla insumo_sanitario para soportar 2 niveles</w:t>
      </w:r>
    </w:p>
    <w:p>
      <w:pPr>
        <w:shd w:fill="1E2A3A" w:val="clear"/>
        <w:spacing w:after="80" w:before="80"/>
        <w:ind w:left="360"/>
      </w:pPr>
      <w:r>
        <w:rPr>
          <w:rFonts w:ascii="Courier New" w:cs="Courier New" w:eastAsia="Courier New" w:hAnsi="Courier New"/>
          <w:color w:val="45C4B0"/>
          <w:sz w:val="18"/>
          <w:szCs w:val="18"/>
        </w:rPr>
        <w:t xml:space="preserve">ALTER TABLE insumo_sanitario</w:t>
      </w:r>
    </w:p>
    <w:p>
      <w:pPr>
        <w:shd w:fill="1E2A3A" w:val="clear"/>
        <w:spacing w:after="80" w:before="80"/>
        <w:ind w:left="360"/>
      </w:pPr>
      <w:r>
        <w:rPr>
          <w:rFonts w:ascii="Courier New" w:cs="Courier New" w:eastAsia="Courier New" w:hAnsi="Courier New"/>
          <w:color w:val="45C4B0"/>
          <w:sz w:val="18"/>
          <w:szCs w:val="18"/>
        </w:rPr>
        <w:t xml:space="preserve">  ADD COLUMN id_tenant UUID NULL REFERENCES tenant(id_tenant),</w:t>
      </w:r>
    </w:p>
    <w:p>
      <w:pPr>
        <w:shd w:fill="1E2A3A" w:val="clear"/>
        <w:spacing w:after="80" w:before="80"/>
        <w:ind w:left="360"/>
      </w:pPr>
      <w:r>
        <w:rPr>
          <w:rFonts w:ascii="Courier New" w:cs="Courier New" w:eastAsia="Courier New" w:hAnsi="Courier New"/>
          <w:color w:val="45C4B0"/>
          <w:sz w:val="18"/>
          <w:szCs w:val="18"/>
        </w:rPr>
        <w:t xml:space="preserve">    -- NULL = Catálogo Maestro Global</w:t>
      </w:r>
    </w:p>
    <w:p>
      <w:pPr>
        <w:shd w:fill="1E2A3A" w:val="clear"/>
        <w:spacing w:after="80" w:before="80"/>
        <w:ind w:left="360"/>
      </w:pPr>
      <w:r>
        <w:rPr>
          <w:rFonts w:ascii="Courier New" w:cs="Courier New" w:eastAsia="Courier New" w:hAnsi="Courier New"/>
          <w:color w:val="45C4B0"/>
          <w:sz w:val="18"/>
          <w:szCs w:val="18"/>
        </w:rPr>
        <w:t xml:space="preserve">    -- UUID = Catálogo local del tenant</w:t>
      </w:r>
    </w:p>
    <w:p>
      <w:pPr>
        <w:shd w:fill="1E2A3A" w:val="clear"/>
        <w:spacing w:after="80" w:before="80"/>
        <w:ind w:left="360"/>
      </w:pPr>
      <w:r>
        <w:rPr>
          <w:rFonts w:ascii="Courier New" w:cs="Courier New" w:eastAsia="Courier New" w:hAnsi="Courier New"/>
          <w:color w:val="45C4B0"/>
          <w:sz w:val="18"/>
          <w:szCs w:val="18"/>
        </w:rPr>
        <w:t xml:space="preserve">  ADD COLUMN nivel_catalogo VARCHAR(20) NOT NULL DEFAULT 'tenant'</w:t>
      </w:r>
    </w:p>
    <w:p>
      <w:pPr>
        <w:shd w:fill="1E2A3A" w:val="clear"/>
        <w:spacing w:after="80" w:before="80"/>
        <w:ind w:left="360"/>
      </w:pPr>
      <w:r>
        <w:rPr>
          <w:rFonts w:ascii="Courier New" w:cs="Courier New" w:eastAsia="Courier New" w:hAnsi="Courier New"/>
          <w:color w:val="45C4B0"/>
          <w:sz w:val="18"/>
          <w:szCs w:val="18"/>
        </w:rPr>
        <w:t xml:space="preserve">    CHECK (nivel_catalogo IN ('global','tenant')),</w:t>
      </w:r>
    </w:p>
    <w:p>
      <w:pPr>
        <w:shd w:fill="1E2A3A" w:val="clear"/>
        <w:spacing w:after="80" w:before="80"/>
        <w:ind w:left="360"/>
      </w:pPr>
      <w:r>
        <w:rPr>
          <w:rFonts w:ascii="Courier New" w:cs="Courier New" w:eastAsia="Courier New" w:hAnsi="Courier New"/>
          <w:color w:val="45C4B0"/>
          <w:sz w:val="18"/>
          <w:szCs w:val="18"/>
        </w:rPr>
        <w:t xml:space="preserve">  ADD COLUMN estado_aprobacion VARCHAR(20) NOT NULL DEFAULT 'pendiente'</w:t>
      </w:r>
    </w:p>
    <w:p>
      <w:pPr>
        <w:shd w:fill="1E2A3A" w:val="clear"/>
        <w:spacing w:after="80" w:before="80"/>
        <w:ind w:left="360"/>
      </w:pPr>
      <w:r>
        <w:rPr>
          <w:rFonts w:ascii="Courier New" w:cs="Courier New" w:eastAsia="Courier New" w:hAnsi="Courier New"/>
          <w:color w:val="45C4B0"/>
          <w:sz w:val="18"/>
          <w:szCs w:val="18"/>
        </w:rPr>
        <w:t xml:space="preserve">    CHECK (estado_aprobacion IN ('pendiente','aprobado','rechazado','archivado')),</w:t>
      </w:r>
    </w:p>
    <w:p>
      <w:pPr>
        <w:shd w:fill="1E2A3A" w:val="clear"/>
        <w:spacing w:after="80" w:before="80"/>
        <w:ind w:left="360"/>
      </w:pPr>
      <w:r>
        <w:rPr>
          <w:rFonts w:ascii="Courier New" w:cs="Courier New" w:eastAsia="Courier New" w:hAnsi="Courier New"/>
          <w:color w:val="45C4B0"/>
          <w:sz w:val="18"/>
          <w:szCs w:val="18"/>
        </w:rPr>
        <w:t xml:space="preserve">  ADD COLUMN bandera_responsabilidad BOOLEAN NOT NULL DEFAULT FALSE,</w:t>
      </w:r>
    </w:p>
    <w:p>
      <w:pPr>
        <w:shd w:fill="1E2A3A" w:val="clear"/>
        <w:spacing w:after="80" w:before="80"/>
        <w:ind w:left="360"/>
      </w:pPr>
      <w:r>
        <w:rPr>
          <w:rFonts w:ascii="Courier New" w:cs="Courier New" w:eastAsia="Courier New" w:hAnsi="Courier New"/>
          <w:color w:val="45C4B0"/>
          <w:sz w:val="18"/>
          <w:szCs w:val="18"/>
        </w:rPr>
        <w:t xml:space="preserve">    -- TRUE si registro_ica está vacío y se aprobó bajo responsabilidad</w:t>
      </w:r>
    </w:p>
    <w:p>
      <w:pPr>
        <w:shd w:fill="1E2A3A" w:val="clear"/>
        <w:spacing w:after="80" w:before="80"/>
        <w:ind w:left="360"/>
      </w:pPr>
      <w:r>
        <w:rPr>
          <w:rFonts w:ascii="Courier New" w:cs="Courier New" w:eastAsia="Courier New" w:hAnsi="Courier New"/>
          <w:color w:val="45C4B0"/>
          <w:sz w:val="18"/>
          <w:szCs w:val="18"/>
        </w:rPr>
        <w:t xml:space="preserve">  ADD COLUMN id_usuario_aprueba UUID NULL REFERENCES usuario(id_usuario),</w:t>
      </w:r>
    </w:p>
    <w:p>
      <w:pPr>
        <w:shd w:fill="1E2A3A" w:val="clear"/>
        <w:spacing w:after="80" w:before="80"/>
        <w:ind w:left="360"/>
      </w:pPr>
      <w:r>
        <w:rPr>
          <w:rFonts w:ascii="Courier New" w:cs="Courier New" w:eastAsia="Courier New" w:hAnsi="Courier New"/>
          <w:color w:val="45C4B0"/>
          <w:sz w:val="18"/>
          <w:szCs w:val="18"/>
        </w:rPr>
        <w:t xml:space="preserve">  ADD COLUMN fecha_aprobacion TIMESTAMP NULL,</w:t>
      </w:r>
    </w:p>
    <w:p>
      <w:pPr>
        <w:shd w:fill="1E2A3A" w:val="clear"/>
        <w:spacing w:after="80" w:before="80"/>
        <w:ind w:left="360"/>
      </w:pPr>
      <w:r>
        <w:rPr>
          <w:rFonts w:ascii="Courier New" w:cs="Courier New" w:eastAsia="Courier New" w:hAnsi="Courier New"/>
          <w:color w:val="45C4B0"/>
          <w:sz w:val="18"/>
          <w:szCs w:val="18"/>
        </w:rPr>
        <w:t xml:space="preserve">  ADD COLUMN justificacion_aprobacion TEXT NULL;</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Constraint: si es global, no puede tener tenant</w:t>
      </w:r>
    </w:p>
    <w:p>
      <w:pPr>
        <w:shd w:fill="1E2A3A" w:val="clear"/>
        <w:spacing w:after="80" w:before="80"/>
        <w:ind w:left="360"/>
      </w:pPr>
      <w:r>
        <w:rPr>
          <w:rFonts w:ascii="Courier New" w:cs="Courier New" w:eastAsia="Courier New" w:hAnsi="Courier New"/>
          <w:color w:val="45C4B0"/>
          <w:sz w:val="18"/>
          <w:szCs w:val="18"/>
        </w:rPr>
        <w:t xml:space="preserve">ALTER TABLE insumo_sanitario</w:t>
      </w:r>
    </w:p>
    <w:p>
      <w:pPr>
        <w:shd w:fill="1E2A3A" w:val="clear"/>
        <w:spacing w:after="80" w:before="80"/>
        <w:ind w:left="360"/>
      </w:pPr>
      <w:r>
        <w:rPr>
          <w:rFonts w:ascii="Courier New" w:cs="Courier New" w:eastAsia="Courier New" w:hAnsi="Courier New"/>
          <w:color w:val="45C4B0"/>
          <w:sz w:val="18"/>
          <w:szCs w:val="18"/>
        </w:rPr>
        <w:t xml:space="preserve">  ADD CONSTRAINT chk_catalogo_consistente CHECK (</w:t>
      </w:r>
    </w:p>
    <w:p>
      <w:pPr>
        <w:shd w:fill="1E2A3A" w:val="clear"/>
        <w:spacing w:after="80" w:before="80"/>
        <w:ind w:left="360"/>
      </w:pPr>
      <w:r>
        <w:rPr>
          <w:rFonts w:ascii="Courier New" w:cs="Courier New" w:eastAsia="Courier New" w:hAnsi="Courier New"/>
          <w:color w:val="45C4B0"/>
          <w:sz w:val="18"/>
          <w:szCs w:val="18"/>
        </w:rPr>
        <w:t xml:space="preserve">    (nivel_catalogo = 'global' AND id_tenant IS NULL) OR</w:t>
      </w:r>
    </w:p>
    <w:p>
      <w:pPr>
        <w:shd w:fill="1E2A3A" w:val="clear"/>
        <w:spacing w:after="80" w:before="80"/>
        <w:ind w:left="360"/>
      </w:pPr>
      <w:r>
        <w:rPr>
          <w:rFonts w:ascii="Courier New" w:cs="Courier New" w:eastAsia="Courier New" w:hAnsi="Courier New"/>
          <w:color w:val="45C4B0"/>
          <w:sz w:val="18"/>
          <w:szCs w:val="18"/>
        </w:rPr>
        <w:t xml:space="preserve">    (nivel_catalogo = 'tenant' AND id_tenant IS NOT NULL)</w:t>
      </w:r>
    </w:p>
    <w:p>
      <w:pPr>
        <w:shd w:fill="1E2A3A" w:val="clear"/>
        <w:spacing w:after="80" w:before="80"/>
        <w:ind w:left="360"/>
      </w:pPr>
      <w:r>
        <w:rPr>
          <w:rFonts w:ascii="Courier New" w:cs="Courier New" w:eastAsia="Courier New" w:hAnsi="Courier New"/>
          <w:color w:val="45C4B0"/>
          <w:sz w:val="18"/>
          <w:szCs w:val="18"/>
        </w:rPr>
        <w:t xml:space="preserve">  );</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B.3. Flujo de Aprobación del Catálogo Local</w:t>
      </w:r>
    </w:p>
    <w:p>
      <w:pPr>
        <w:spacing w:after="80" w:before="60"/>
      </w:pPr>
      <w:r>
        <w:rPr>
          <w:rFonts w:ascii="Inter" w:cs="Inter" w:eastAsia="Inter" w:hAnsi="Inter"/>
          <w:color w:val="334155"/>
          <w:sz w:val="22"/>
          <w:szCs w:val="22"/>
        </w:rPr>
        <w:t xml:space="preserve">Cuando un tenant requiere agregar un insumo no presente en el Catálogo Maestro Global:</w:t>
      </w:r>
    </w:p>
    <w:p>
      <w:pPr>
        <w:spacing w:after="80" w:before="60"/>
      </w:pPr>
      <w:r>
        <w:rPr>
          <w:rFonts w:ascii="Inter" w:cs="Inter" w:eastAsia="Inter" w:hAnsi="Inter"/>
          <w:color w:val="334155"/>
          <w:sz w:val="22"/>
          <w:szCs w:val="22"/>
        </w:rPr>
        <w:t xml:space="preserve">Paso 1. El Coordinador o Gerente solicita el alta del insumo desde el panel administrativo del tenant.</w:t>
      </w:r>
    </w:p>
    <w:p>
      <w:pPr>
        <w:spacing w:after="80" w:before="60"/>
      </w:pPr>
      <w:r>
        <w:rPr>
          <w:rFonts w:ascii="Inter" w:cs="Inter" w:eastAsia="Inter" w:hAnsi="Inter"/>
          <w:color w:val="334155"/>
          <w:sz w:val="22"/>
          <w:szCs w:val="22"/>
        </w:rPr>
        <w:t xml:space="preserve">Paso 2. Si el insumo tiene registro ICA válido (formato ICA-MVET-XXXX-YYY), el sistema valida automáticamente la sintaxis y permite al Gerente aprobarlo directamente.</w:t>
      </w:r>
    </w:p>
    <w:p>
      <w:pPr>
        <w:spacing w:after="80" w:before="60"/>
      </w:pPr>
      <w:r>
        <w:rPr>
          <w:rFonts w:ascii="Inter" w:cs="Inter" w:eastAsia="Inter" w:hAnsi="Inter"/>
          <w:color w:val="334155"/>
          <w:sz w:val="22"/>
          <w:szCs w:val="22"/>
        </w:rPr>
        <w:t xml:space="preserve">Paso 3. Si el insumo NO tiene registro ICA, el sistema exige al Gerente aceptar explícitamente la declaración:</w:t>
      </w:r>
    </w:p>
    <w:p>
      <w:pPr>
        <w:shd w:fill="1E2A3A" w:val="clear"/>
        <w:spacing w:after="80" w:before="80"/>
        <w:ind w:left="360"/>
      </w:pPr>
      <w:r>
        <w:rPr>
          <w:rFonts w:ascii="Courier New" w:cs="Courier New" w:eastAsia="Courier New" w:hAnsi="Courier New"/>
          <w:color w:val="45C4B0"/>
          <w:sz w:val="18"/>
          <w:szCs w:val="18"/>
        </w:rPr>
        <w:t xml:space="preserve">"Declaro bajo mi responsabilidad que el uso de este insumo es legal</w:t>
      </w:r>
    </w:p>
    <w:p>
      <w:pPr>
        <w:shd w:fill="1E2A3A" w:val="clear"/>
        <w:spacing w:after="80" w:before="80"/>
        <w:ind w:left="360"/>
      </w:pPr>
      <w:r>
        <w:rPr>
          <w:rFonts w:ascii="Courier New" w:cs="Courier New" w:eastAsia="Courier New" w:hAnsi="Courier New"/>
          <w:color w:val="45C4B0"/>
          <w:sz w:val="18"/>
          <w:szCs w:val="18"/>
        </w:rPr>
        <w:t xml:space="preserve">en mi operación, y entiendo que su aplicación queda fuera del alcance</w:t>
      </w:r>
    </w:p>
    <w:p>
      <w:pPr>
        <w:shd w:fill="1E2A3A" w:val="clear"/>
        <w:spacing w:after="80" w:before="80"/>
        <w:ind w:left="360"/>
      </w:pPr>
      <w:r>
        <w:rPr>
          <w:rFonts w:ascii="Courier New" w:cs="Courier New" w:eastAsia="Courier New" w:hAnsi="Courier New"/>
          <w:color w:val="45C4B0"/>
          <w:sz w:val="18"/>
          <w:szCs w:val="18"/>
        </w:rPr>
        <w:t xml:space="preserve">de la certificación BPA acuícola. Aquashell registra este consentimiento</w:t>
      </w:r>
    </w:p>
    <w:p>
      <w:pPr>
        <w:shd w:fill="1E2A3A" w:val="clear"/>
        <w:spacing w:after="80" w:before="80"/>
        <w:ind w:left="360"/>
      </w:pPr>
      <w:r>
        <w:rPr>
          <w:rFonts w:ascii="Courier New" w:cs="Courier New" w:eastAsia="Courier New" w:hAnsi="Courier New"/>
          <w:color w:val="45C4B0"/>
          <w:sz w:val="18"/>
          <w:szCs w:val="18"/>
        </w:rPr>
        <w:t xml:space="preserve">para fines de auditoría regulatoria."</w:t>
      </w:r>
    </w:p>
    <w:p>
      <w:pPr>
        <w:spacing w:after="80" w:before="60"/>
      </w:pPr>
      <w:r>
        <w:rPr>
          <w:rFonts w:ascii="Inter" w:cs="Inter" w:eastAsia="Inter" w:hAnsi="Inter"/>
          <w:color w:val="334155"/>
          <w:sz w:val="22"/>
          <w:szCs w:val="22"/>
        </w:rPr>
        <w:t xml:space="preserve">Paso 4. La entrada se crea con bandera_responsabilidad = TRUE y queda visible solo dentro del tenant.</w:t>
      </w:r>
    </w:p>
    <w:p>
      <w:pPr>
        <w:spacing w:after="80" w:before="60"/>
      </w:pPr>
      <w:r>
        <w:rPr>
          <w:rFonts w:ascii="Inter" w:cs="Inter" w:eastAsia="Inter" w:hAnsi="Inter"/>
          <w:color w:val="334155"/>
          <w:sz w:val="22"/>
          <w:szCs w:val="22"/>
        </w:rPr>
        <w:t xml:space="preserve">Paso 5. El Super Admin de Aquashell recibe una notificación periódica (semanal) con todos los insumos creados con bandera de responsabilidad para auditoría externa.</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B.4. Sincronización del Catálogo Maestro Global</w:t>
      </w:r>
    </w:p>
    <w:p>
      <w:pPr>
        <w:spacing w:after="80" w:before="60"/>
      </w:pPr>
      <w:r>
        <w:rPr>
          <w:rFonts w:ascii="Inter" w:cs="Inter" w:eastAsia="Inter" w:hAnsi="Inter"/>
          <w:color w:val="334155"/>
          <w:sz w:val="22"/>
          <w:szCs w:val="22"/>
        </w:rPr>
        <w:t xml:space="preserve">El Catálogo Maestro Global se actualiza centralmente por Aquashell y se distribuye a los tenants en cada sync. Cuando ICA actualiza su listado de medicamentos veterinarios autorizados (publicación periódica del registro ICA), el Super Admin de Aquashell ejecuta el siguiente flujo:</w:t>
      </w:r>
    </w:p>
    <w:p>
      <w:pPr>
        <w:pStyle w:val="ListParagraph"/>
        <w:numPr>
          <w:ilvl w:val="0"/>
          <w:numId w:val="2"/>
        </w:numPr>
        <w:spacing w:after="40" w:before="40"/>
      </w:pPr>
      <w:r>
        <w:rPr>
          <w:rFonts w:ascii="Inter" w:cs="Inter" w:eastAsia="Inter" w:hAnsi="Inter"/>
          <w:b w:val="false"/>
          <w:bCs w:val="false"/>
          <w:color w:val="334155"/>
          <w:sz w:val="22"/>
          <w:szCs w:val="22"/>
        </w:rPr>
        <w:t xml:space="preserve">Importación batch desde el archivo oficial ICA en CSV.</w:t>
      </w:r>
    </w:p>
    <w:p>
      <w:pPr>
        <w:pStyle w:val="ListParagraph"/>
        <w:numPr>
          <w:ilvl w:val="0"/>
          <w:numId w:val="2"/>
        </w:numPr>
        <w:spacing w:after="40" w:before="40"/>
      </w:pPr>
      <w:r>
        <w:rPr>
          <w:rFonts w:ascii="Inter" w:cs="Inter" w:eastAsia="Inter" w:hAnsi="Inter"/>
          <w:b w:val="false"/>
          <w:bCs w:val="false"/>
          <w:color w:val="334155"/>
          <w:sz w:val="22"/>
          <w:szCs w:val="22"/>
        </w:rPr>
        <w:t xml:space="preserve">Validación de duplicados contra el catálogo existente.</w:t>
      </w:r>
    </w:p>
    <w:p>
      <w:pPr>
        <w:pStyle w:val="ListParagraph"/>
        <w:numPr>
          <w:ilvl w:val="0"/>
          <w:numId w:val="2"/>
        </w:numPr>
        <w:spacing w:after="40" w:before="40"/>
      </w:pPr>
      <w:r>
        <w:rPr>
          <w:rFonts w:ascii="Inter" w:cs="Inter" w:eastAsia="Inter" w:hAnsi="Inter"/>
          <w:b w:val="false"/>
          <w:bCs w:val="false"/>
          <w:color w:val="334155"/>
          <w:sz w:val="22"/>
          <w:szCs w:val="22"/>
        </w:rPr>
        <w:t xml:space="preserve">Marcado de insumos retirados del mercado (estado_aprobacion = "archivado").</w:t>
      </w:r>
    </w:p>
    <w:p>
      <w:pPr>
        <w:pStyle w:val="ListParagraph"/>
        <w:numPr>
          <w:ilvl w:val="0"/>
          <w:numId w:val="2"/>
        </w:numPr>
        <w:spacing w:after="40" w:before="40"/>
      </w:pPr>
      <w:r>
        <w:rPr>
          <w:rFonts w:ascii="Inter" w:cs="Inter" w:eastAsia="Inter" w:hAnsi="Inter"/>
          <w:b w:val="false"/>
          <w:bCs w:val="false"/>
          <w:color w:val="334155"/>
          <w:sz w:val="22"/>
          <w:szCs w:val="22"/>
        </w:rPr>
        <w:t xml:space="preserve">Notificación a tenants que tienen aplicaciones registradas con insumos archivados.</w:t>
      </w:r>
    </w:p>
    <w:p>
      <w:pPr>
        <w:pStyle w:val="ListParagraph"/>
        <w:numPr>
          <w:ilvl w:val="0"/>
          <w:numId w:val="2"/>
        </w:numPr>
        <w:spacing w:after="40" w:before="40"/>
      </w:pPr>
      <w:r>
        <w:rPr>
          <w:rFonts w:ascii="Inter" w:cs="Inter" w:eastAsia="Inter" w:hAnsi="Inter"/>
          <w:b w:val="false"/>
          <w:bCs w:val="false"/>
          <w:color w:val="334155"/>
          <w:sz w:val="22"/>
          <w:szCs w:val="22"/>
        </w:rPr>
        <w:t xml:space="preserve">Bloqueo automático de nuevas aplicaciones de insumos archivados.</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Criterios de Aceptación Globales del TDD-10</w:t>
      </w:r>
    </w:p>
    <w:p>
      <w:pPr>
        <w:pStyle w:val="Heading3"/>
        <w:spacing w:after="80" w:before="200"/>
      </w:pPr>
      <w:r>
        <w:rPr>
          <w:rFonts w:ascii="Montserrat" w:cs="Montserrat" w:eastAsia="Montserrat" w:hAnsi="Montserrat"/>
          <w:b/>
          <w:bCs/>
          <w:color w:val="C29B57"/>
          <w:sz w:val="22"/>
          <w:szCs w:val="22"/>
        </w:rPr>
        <w:t xml:space="preserve">Prueba 1 — Modo Remoto Activado</w:t>
      </w:r>
    </w:p>
    <w:p>
      <w:pPr>
        <w:pStyle w:val="ListParagraph"/>
        <w:numPr>
          <w:ilvl w:val="0"/>
          <w:numId w:val="2"/>
        </w:numPr>
        <w:spacing w:after="40" w:before="40"/>
      </w:pPr>
      <w:r>
        <w:rPr>
          <w:rFonts w:ascii="Inter" w:cs="Inter" w:eastAsia="Inter" w:hAnsi="Inter"/>
          <w:b w:val="false"/>
          <w:bCs w:val="false"/>
          <w:color w:val="334155"/>
          <w:sz w:val="22"/>
          <w:szCs w:val="22"/>
        </w:rPr>
        <w:t xml:space="preserve">Super Admin configura tenant X con perfil_conectividad = remoto.</w:t>
      </w:r>
    </w:p>
    <w:p>
      <w:pPr>
        <w:pStyle w:val="ListParagraph"/>
        <w:numPr>
          <w:ilvl w:val="0"/>
          <w:numId w:val="2"/>
        </w:numPr>
        <w:spacing w:after="40" w:before="40"/>
      </w:pPr>
      <w:r>
        <w:rPr>
          <w:rFonts w:ascii="Inter" w:cs="Inter" w:eastAsia="Inter" w:hAnsi="Inter"/>
          <w:b w:val="false"/>
          <w:bCs w:val="false"/>
          <w:color w:val="334155"/>
          <w:sz w:val="22"/>
          <w:szCs w:val="22"/>
        </w:rPr>
        <w:t xml:space="preserve">Operario del tenant X recibe Snapshot Token con vigencia de 48h.</w:t>
      </w:r>
    </w:p>
    <w:p>
      <w:pPr>
        <w:pStyle w:val="ListParagraph"/>
        <w:numPr>
          <w:ilvl w:val="0"/>
          <w:numId w:val="2"/>
        </w:numPr>
        <w:spacing w:after="40" w:before="40"/>
      </w:pPr>
      <w:r>
        <w:rPr>
          <w:rFonts w:ascii="Inter" w:cs="Inter" w:eastAsia="Inter" w:hAnsi="Inter"/>
          <w:b w:val="false"/>
          <w:bCs w:val="false"/>
          <w:color w:val="334155"/>
          <w:sz w:val="22"/>
          <w:szCs w:val="22"/>
        </w:rPr>
        <w:t xml:space="preserve">Validar que la app permite operaciones offline durante 47h sin bloqueo.</w:t>
      </w:r>
    </w:p>
    <w:p>
      <w:pPr>
        <w:pStyle w:val="Heading3"/>
        <w:spacing w:after="80" w:before="200"/>
      </w:pPr>
      <w:r>
        <w:rPr>
          <w:rFonts w:ascii="Montserrat" w:cs="Montserrat" w:eastAsia="Montserrat" w:hAnsi="Montserrat"/>
          <w:b/>
          <w:bCs/>
          <w:color w:val="C29B57"/>
          <w:sz w:val="22"/>
          <w:szCs w:val="22"/>
        </w:rPr>
        <w:t xml:space="preserve">Prueba 2 — Modo Emergencia</w:t>
      </w:r>
    </w:p>
    <w:p>
      <w:pPr>
        <w:pStyle w:val="ListParagraph"/>
        <w:numPr>
          <w:ilvl w:val="0"/>
          <w:numId w:val="2"/>
        </w:numPr>
        <w:spacing w:after="40" w:before="40"/>
      </w:pPr>
      <w:r>
        <w:rPr>
          <w:rFonts w:ascii="Inter" w:cs="Inter" w:eastAsia="Inter" w:hAnsi="Inter"/>
          <w:b w:val="false"/>
          <w:bCs w:val="false"/>
          <w:color w:val="334155"/>
          <w:sz w:val="22"/>
          <w:szCs w:val="22"/>
        </w:rPr>
        <w:t xml:space="preserve">Forzar expiración del Snapshot Token sin red.</w:t>
      </w:r>
    </w:p>
    <w:p>
      <w:pPr>
        <w:pStyle w:val="ListParagraph"/>
        <w:numPr>
          <w:ilvl w:val="0"/>
          <w:numId w:val="2"/>
        </w:numPr>
        <w:spacing w:after="40" w:before="40"/>
      </w:pPr>
      <w:r>
        <w:rPr>
          <w:rFonts w:ascii="Inter" w:cs="Inter" w:eastAsia="Inter" w:hAnsi="Inter"/>
          <w:b w:val="false"/>
          <w:bCs w:val="false"/>
          <w:color w:val="334155"/>
          <w:sz w:val="22"/>
          <w:szCs w:val="22"/>
        </w:rPr>
        <w:t xml:space="preserve">Activar modo emergencia con motivo "Mortalidad masiva detectada".</w:t>
      </w:r>
    </w:p>
    <w:p>
      <w:pPr>
        <w:pStyle w:val="ListParagraph"/>
        <w:numPr>
          <w:ilvl w:val="0"/>
          <w:numId w:val="2"/>
        </w:numPr>
        <w:spacing w:after="40" w:before="40"/>
      </w:pPr>
      <w:r>
        <w:rPr>
          <w:rFonts w:ascii="Inter" w:cs="Inter" w:eastAsia="Inter" w:hAnsi="Inter"/>
          <w:b w:val="false"/>
          <w:bCs w:val="false"/>
          <w:color w:val="334155"/>
          <w:sz w:val="22"/>
          <w:szCs w:val="22"/>
        </w:rPr>
        <w:t xml:space="preserve">Registrar 5 mortalidades. Validar flag emergencia_offline = TRUE.</w:t>
      </w:r>
    </w:p>
    <w:p>
      <w:pPr>
        <w:pStyle w:val="ListParagraph"/>
        <w:numPr>
          <w:ilvl w:val="0"/>
          <w:numId w:val="2"/>
        </w:numPr>
        <w:spacing w:after="40" w:before="40"/>
      </w:pPr>
      <w:r>
        <w:rPr>
          <w:rFonts w:ascii="Inter" w:cs="Inter" w:eastAsia="Inter" w:hAnsi="Inter"/>
          <w:b w:val="false"/>
          <w:bCs w:val="false"/>
          <w:color w:val="334155"/>
          <w:sz w:val="22"/>
          <w:szCs w:val="22"/>
        </w:rPr>
        <w:t xml:space="preserve">Intentar registrar una alimentación: el sistema lo bloquea (no permitido en modo emergencia).</w:t>
      </w:r>
    </w:p>
    <w:p>
      <w:pPr>
        <w:pStyle w:val="Heading3"/>
        <w:spacing w:after="80" w:before="200"/>
      </w:pPr>
      <w:r>
        <w:rPr>
          <w:rFonts w:ascii="Montserrat" w:cs="Montserrat" w:eastAsia="Montserrat" w:hAnsi="Montserrat"/>
          <w:b/>
          <w:bCs/>
          <w:color w:val="C29B57"/>
          <w:sz w:val="22"/>
          <w:szCs w:val="22"/>
        </w:rPr>
        <w:t xml:space="preserve">Prueba 3 — Aprobación de Insumo Sin ICA</w:t>
      </w:r>
    </w:p>
    <w:p>
      <w:pPr>
        <w:pStyle w:val="ListParagraph"/>
        <w:numPr>
          <w:ilvl w:val="0"/>
          <w:numId w:val="2"/>
        </w:numPr>
        <w:spacing w:after="40" w:before="40"/>
      </w:pPr>
      <w:r>
        <w:rPr>
          <w:rFonts w:ascii="Inter" w:cs="Inter" w:eastAsia="Inter" w:hAnsi="Inter"/>
          <w:b w:val="false"/>
          <w:bCs w:val="false"/>
          <w:color w:val="334155"/>
          <w:sz w:val="22"/>
          <w:szCs w:val="22"/>
        </w:rPr>
        <w:t xml:space="preserve">Gerente del tenant intenta agregar "Sal marina industrial" sin registro ICA.</w:t>
      </w:r>
    </w:p>
    <w:p>
      <w:pPr>
        <w:pStyle w:val="ListParagraph"/>
        <w:numPr>
          <w:ilvl w:val="0"/>
          <w:numId w:val="2"/>
        </w:numPr>
        <w:spacing w:after="40" w:before="40"/>
      </w:pPr>
      <w:r>
        <w:rPr>
          <w:rFonts w:ascii="Inter" w:cs="Inter" w:eastAsia="Inter" w:hAnsi="Inter"/>
          <w:b w:val="false"/>
          <w:bCs w:val="false"/>
          <w:color w:val="334155"/>
          <w:sz w:val="22"/>
          <w:szCs w:val="22"/>
        </w:rPr>
        <w:t xml:space="preserve">Sistema exige declaración de responsabilidad antes de aprobar.</w:t>
      </w:r>
    </w:p>
    <w:p>
      <w:pPr>
        <w:pStyle w:val="ListParagraph"/>
        <w:numPr>
          <w:ilvl w:val="0"/>
          <w:numId w:val="2"/>
        </w:numPr>
        <w:spacing w:after="40" w:before="40"/>
      </w:pPr>
      <w:r>
        <w:rPr>
          <w:rFonts w:ascii="Inter" w:cs="Inter" w:eastAsia="Inter" w:hAnsi="Inter"/>
          <w:b w:val="false"/>
          <w:bCs w:val="false"/>
          <w:color w:val="334155"/>
          <w:sz w:val="22"/>
          <w:szCs w:val="22"/>
        </w:rPr>
        <w:t xml:space="preserve">Validar bandera_responsabilidad = TRUE en BD.</w:t>
      </w:r>
    </w:p>
    <w:p>
      <w:pPr>
        <w:pStyle w:val="ListParagraph"/>
        <w:numPr>
          <w:ilvl w:val="0"/>
          <w:numId w:val="2"/>
        </w:numPr>
        <w:spacing w:after="40" w:before="40"/>
      </w:pPr>
      <w:r>
        <w:rPr>
          <w:rFonts w:ascii="Inter" w:cs="Inter" w:eastAsia="Inter" w:hAnsi="Inter"/>
          <w:b w:val="false"/>
          <w:bCs w:val="false"/>
          <w:color w:val="334155"/>
          <w:sz w:val="22"/>
          <w:szCs w:val="22"/>
        </w:rPr>
        <w:t xml:space="preserve">Validar que el Super Admin de Aquashell recibe notificación al cierre semanal.</w:t>
      </w:r>
    </w:p>
    <w:p>
      <w:pPr>
        <w:pStyle w:val="Heading3"/>
        <w:spacing w:after="80" w:before="200"/>
      </w:pPr>
      <w:r>
        <w:rPr>
          <w:rFonts w:ascii="Montserrat" w:cs="Montserrat" w:eastAsia="Montserrat" w:hAnsi="Montserrat"/>
          <w:b/>
          <w:bCs/>
          <w:color w:val="C29B57"/>
          <w:sz w:val="22"/>
          <w:szCs w:val="22"/>
        </w:rPr>
        <w:t xml:space="preserve">Prueba 4 — Bloqueo por Insumo Archivado</w:t>
      </w:r>
    </w:p>
    <w:p>
      <w:pPr>
        <w:pStyle w:val="ListParagraph"/>
        <w:numPr>
          <w:ilvl w:val="0"/>
          <w:numId w:val="2"/>
        </w:numPr>
        <w:spacing w:after="40" w:before="40"/>
      </w:pPr>
      <w:r>
        <w:rPr>
          <w:rFonts w:ascii="Inter" w:cs="Inter" w:eastAsia="Inter" w:hAnsi="Inter"/>
          <w:b w:val="false"/>
          <w:bCs w:val="false"/>
          <w:color w:val="334155"/>
          <w:sz w:val="22"/>
          <w:szCs w:val="22"/>
        </w:rPr>
        <w:t xml:space="preserve">Aquashell archiva el insumo Y en el Catálogo Maestro Global.</w:t>
      </w:r>
    </w:p>
    <w:p>
      <w:pPr>
        <w:pStyle w:val="ListParagraph"/>
        <w:numPr>
          <w:ilvl w:val="0"/>
          <w:numId w:val="2"/>
        </w:numPr>
        <w:spacing w:after="40" w:before="40"/>
      </w:pPr>
      <w:r>
        <w:rPr>
          <w:rFonts w:ascii="Inter" w:cs="Inter" w:eastAsia="Inter" w:hAnsi="Inter"/>
          <w:b w:val="false"/>
          <w:bCs w:val="false"/>
          <w:color w:val="334155"/>
          <w:sz w:val="22"/>
          <w:szCs w:val="22"/>
        </w:rPr>
        <w:t xml:space="preserve">Coordinador del tenant intenta registrar una nueva aplicación con insumo Y.</w:t>
      </w:r>
    </w:p>
    <w:p>
      <w:pPr>
        <w:pStyle w:val="ListParagraph"/>
        <w:numPr>
          <w:ilvl w:val="0"/>
          <w:numId w:val="2"/>
        </w:numPr>
        <w:spacing w:after="40" w:before="40"/>
      </w:pPr>
      <w:r>
        <w:rPr>
          <w:rFonts w:ascii="Inter" w:cs="Inter" w:eastAsia="Inter" w:hAnsi="Inter"/>
          <w:b w:val="false"/>
          <w:bCs w:val="false"/>
          <w:color w:val="334155"/>
          <w:sz w:val="22"/>
          <w:szCs w:val="22"/>
        </w:rPr>
        <w:t xml:space="preserve">Sistema bloquea con mensaje: "Este insumo ha sido archivado del Catálogo Maestro y no puede usarse en nuevas aplicaciones."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5C4B0" w:sz="1"/>
              <w:left w:val="single" w:color="45C4B0" w:sz="1"/>
              <w:bottom w:val="single" w:color="45C4B0" w:sz="1"/>
              <w:right w:val="single" w:color="45C4B0" w:sz="1"/>
            </w:tcBorders>
            <w:shd w:fill="45C4B0" w:val="clear"/>
            <w:tcMar>
              <w:top w:type="dxa" w:w="80"/>
              <w:left w:type="dxa" w:w="120"/>
              <w:bottom w:type="dxa" w:w="80"/>
              <w:right w:type="dxa" w:w="120"/>
            </w:tcMar>
            <w:vAlign w:val="center"/>
          </w:tcPr>
          <w:p>
            <w:pPr>
              <w:jc w:val="center"/>
            </w:pPr>
            <w:r>
              <w:rPr>
                <w:rFonts w:ascii="Montserrat" w:cs="Montserrat" w:eastAsia="Montserrat" w:hAnsi="Montserrat"/>
                <w:b/>
                <w:bCs/>
                <w:color w:val="FFFFFF"/>
                <w:sz w:val="20"/>
                <w:szCs w:val="20"/>
              </w:rPr>
              <w:t xml:space="preserve">📊 IMPACTO</w:t>
            </w:r>
          </w:p>
        </w:tc>
        <w:tc>
          <w:tcPr>
            <w:tcW w:type="dxa" w:w="7920"/>
            <w:tcBorders>
              <w:top w:val="single" w:color="45C4B0" w:sz="1"/>
              <w:left w:val="single" w:color="45C4B0" w:sz="1"/>
              <w:bottom w:val="single" w:color="45C4B0" w:sz="1"/>
              <w:right w:val="single" w:color="45C4B0" w:sz="1"/>
            </w:tcBorders>
            <w:tcMar>
              <w:top w:type="dxa" w:w="80"/>
              <w:left w:type="dxa" w:w="120"/>
              <w:bottom w:type="dxa" w:w="80"/>
              <w:right w:type="dxa" w:w="120"/>
            </w:tcMar>
          </w:tcPr>
          <w:p>
            <w:r>
              <w:rPr>
                <w:rFonts w:ascii="Inter" w:cs="Inter" w:eastAsia="Inter" w:hAnsi="Inter"/>
                <w:color w:val="334155"/>
                <w:sz w:val="20"/>
                <w:szCs w:val="20"/>
              </w:rPr>
              <w:t xml:space="preserve">Las políticas de este documento son habilitadores comerciales directos. El Modo Remoto desbloquea ventas a clientes en Vichada, Amazonas y Chocó (que representan ~18% del mercado acuícola colombiano). La Gobernanza de Catálogos protege a Aquashell de responsabilidad legal por uso indebido de medicamentos veterinarios.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35C" w:sz="4" w:space="1"/>
      </w:pBdr>
    </w:pPr>
    <w:r>
      <w:rPr>
        <w:rFonts w:ascii="Inter" w:cs="Inter" w:eastAsia="Inter" w:hAnsi="Inter"/>
        <w:color w:val="334155"/>
        <w:sz w:val="16"/>
        <w:szCs w:val="16"/>
      </w:rPr>
      <w:t xml:space="preserve">Aquashell — Documento de Arquitectura Técnica  ·  Confidencial  ·  Pág. </w:t>
    </w:r>
    <w:r>
      <w:rPr>
        <w:rFonts w:ascii="Inter" w:cs="Inter" w:eastAsia="Inter" w:hAnsi="Inter"/>
        <w:color w:val="1A3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C4B0" w:sz="6" w:space="1"/>
      </w:pBdr>
      <w:tabs>
        <w:tab w:val="right" w:pos="9026"/>
      </w:tabs>
    </w:pPr>
    <w:r>
      <w:rPr>
        <w:rFonts w:ascii="Montserrat" w:cs="Montserrat" w:eastAsia="Montserrat" w:hAnsi="Montserrat"/>
        <w:b/>
        <w:bCs/>
        <w:color w:val="45C4B0"/>
        <w:sz w:val="18"/>
        <w:szCs w:val="18"/>
      </w:rPr>
      <w:t xml:space="preserve">AQUASHELL  ·  </w:t>
    </w:r>
    <w:r>
      <w:rPr>
        <w:rFonts w:ascii="Montserrat" w:cs="Montserrat" w:eastAsia="Montserrat" w:hAnsi="Montserrat"/>
        <w:b/>
        <w:bCs/>
        <w:color w:val="1A335C"/>
        <w:sz w:val="18"/>
        <w:szCs w:val="18"/>
      </w:rPr>
      <w:t xml:space="preserve">Política de Vigencia Extendida y Gobernanza de Catálogos</w:t>
    </w:r>
    <w:r>
      <w:rPr>
        <w:rFonts w:ascii="Inter" w:cs="Inter" w:eastAsia="Inter" w:hAnsi="Inter"/>
        <w:color w:val="C29B57"/>
        <w:sz w:val="16"/>
        <w:szCs w:val="16"/>
      </w:rPr>
      <w:t xml:space="preserve">	TDD-10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A335C"/>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1A335C"/>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C29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2026-05-03T20:16:22.852Z</dcterms:created>
  <dcterms:modified xsi:type="dcterms:W3CDTF">2026-05-03T20:16:22.852Z</dcterms:modified>
</cp:coreProperties>
</file>

<file path=docProps/custom.xml><?xml version="1.0" encoding="utf-8"?>
<Properties xmlns="http://schemas.openxmlformats.org/officeDocument/2006/custom-properties" xmlns:vt="http://schemas.openxmlformats.org/officeDocument/2006/docPropsVTypes"/>
</file>