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80"/>
      </w:pPr>
      <w:r>
        <w:rPr>
          <w:rFonts w:ascii="Montserrat" w:cs="Montserrat" w:eastAsia="Montserrat" w:hAnsi="Montserrat"/>
          <w:b/>
          <w:bCs/>
          <w:color w:val="45C4B0"/>
          <w:sz w:val="72"/>
          <w:szCs w:val="72"/>
        </w:rPr>
        <w:t xml:space="preserve">TDD-11</w:t>
      </w:r>
    </w:p>
    <w:p>
      <w:pPr>
        <w:spacing w:after="80" w:before="0"/>
      </w:pPr>
      <w:r>
        <w:rPr>
          <w:rFonts w:ascii="Montserrat" w:cs="Montserrat" w:eastAsia="Montserrat" w:hAnsi="Montserrat"/>
          <w:b/>
          <w:bCs/>
          <w:color w:val="1A335C"/>
          <w:sz w:val="44"/>
          <w:szCs w:val="44"/>
        </w:rPr>
        <w:t xml:space="preserve">Roadmap Maestro de Implementación</w:t>
      </w:r>
    </w:p>
    <w:p>
      <w:pPr>
        <w:spacing w:after="40" w:before="0"/>
      </w:pPr>
      <w:r>
        <w:rPr>
          <w:rFonts w:ascii="Inter" w:cs="Inter" w:eastAsia="Inter" w:hAnsi="Inter"/>
          <w:color w:val="334155"/>
          <w:sz w:val="24"/>
          <w:szCs w:val="24"/>
        </w:rPr>
        <w:t xml:space="preserve">Plan Integrado de Sprints, Dependencias Cruzadas y Definition of Done</w:t>
      </w:r>
    </w:p>
    <w:p>
      <w:pPr>
        <w:spacing w:after="480" w:before="0"/>
      </w:pPr>
      <w:r>
        <w:rPr>
          <w:rFonts w:ascii="Inter" w:cs="Inter" w:eastAsia="Inter" w:hAnsi="Inter"/>
          <w:color w:val="334155"/>
          <w:sz w:val="20"/>
          <w:szCs w:val="20"/>
        </w:rPr>
        <w:t xml:space="preserve">Versión 1.0  ·  2026-05-03  ·  Estado: </w:t>
      </w:r>
      <w:r>
        <w:rPr>
          <w:rFonts w:ascii="Montserrat" w:cs="Montserrat" w:eastAsia="Montserrat" w:hAnsi="Montserrat"/>
          <w:b/>
          <w:bCs/>
          <w:color w:val="45C4B0"/>
          <w:sz w:val="20"/>
          <w:szCs w:val="20"/>
        </w:rPr>
        <w:t xml:space="preserve">APROBADO</w:t>
      </w:r>
    </w:p>
    <w:p>
      <w:r>
        <w:br w:type="page"/>
      </w:r>
    </w:p>
    <w:p>
      <w:pPr>
        <w:pStyle w:val="Heading1"/>
        <w:pBdr>
          <w:bottom w:val="single" w:color="45C4B0" w:sz="8" w:space="4"/>
        </w:pBdr>
        <w:spacing w:after="160" w:before="360"/>
      </w:pPr>
      <w:r>
        <w:rPr>
          <w:rFonts w:ascii="Montserrat" w:cs="Montserrat" w:eastAsia="Montserrat" w:hAnsi="Montserrat"/>
          <w:b/>
          <w:bCs/>
          <w:color w:val="1A335C"/>
          <w:sz w:val="32"/>
          <w:szCs w:val="32"/>
        </w:rPr>
        <w:t xml:space="preserve">1. Propósito del Documento</w:t>
      </w:r>
    </w:p>
    <w:p>
      <w:pPr>
        <w:spacing w:after="80" w:before="60"/>
      </w:pPr>
      <w:r>
        <w:rPr>
          <w:rFonts w:ascii="Inter" w:cs="Inter" w:eastAsia="Inter" w:hAnsi="Inter"/>
          <w:color w:val="334155"/>
          <w:sz w:val="22"/>
          <w:szCs w:val="22"/>
        </w:rPr>
        <w:t xml:space="preserve">Este documento consolida la totalidad del corpus técnico de Aquashell en un plan de implementación operativo que el equipo de desarrollo puede ejecutar sprint por sprint. Su función no es repetir las especificaciones técnicas (que viven en TDDs y CUs), sino establecer el orden de ejecución, las dependencias críticas, los entregables verificables y el Definition of Done por sprint.</w:t>
      </w:r>
    </w:p>
    <w:p>
      <w:pPr>
        <w:spacing w:after="80" w:before="60"/>
      </w:pPr>
      <w:r>
        <w:rPr>
          <w:rFonts w:ascii="Inter" w:cs="Inter" w:eastAsia="Inter" w:hAnsi="Inter"/>
          <w:color w:val="334155"/>
          <w:sz w:val="22"/>
          <w:szCs w:val="22"/>
        </w:rPr>
        <w:t xml:space="preserve">Este es el documento de cabecera para la planificación del Sprint 0 y el lanzamiento formal del proyecto al equipo técnico.</w:t>
      </w:r>
    </w:p>
    <w:p>
      <w:pPr>
        <w:spacing w:after="120" w:before="120"/>
      </w:pPr>
      <w:r>
        <w:t xml:space="preserve"/>
      </w:r>
    </w:p>
    <w:p>
      <w:pPr>
        <w:pStyle w:val="Heading1"/>
        <w:pBdr>
          <w:bottom w:val="single" w:color="45C4B0" w:sz="8" w:space="4"/>
        </w:pBdr>
        <w:spacing w:after="160" w:before="360"/>
      </w:pPr>
      <w:r>
        <w:rPr>
          <w:rFonts w:ascii="Montserrat" w:cs="Montserrat" w:eastAsia="Montserrat" w:hAnsi="Montserrat"/>
          <w:b/>
          <w:bCs/>
          <w:color w:val="1A335C"/>
          <w:sz w:val="32"/>
          <w:szCs w:val="32"/>
        </w:rPr>
        <w:t xml:space="preserve">2. Mapa Completo del Corpus Documental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400"/>
        <w:gridCol w:w="1500"/>
        <w:gridCol w:w="3060"/>
      </w:tblGrid>
      <w:tr>
        <w:trPr>
          <w:tblHeader/>
        </w:trPr>
        <w:tc>
          <w:tcPr>
            <w:tcW w:type="dxa" w:w="1400"/>
            <w:tcBorders>
              <w:top w:val="single" w:color="1A335C" w:sz="1"/>
              <w:left w:val="single" w:color="1A335C" w:sz="1"/>
              <w:bottom w:val="single" w:color="1A335C" w:sz="1"/>
              <w:right w:val="single" w:color="1A335C" w:sz="1"/>
            </w:tcBorders>
            <w:shd w:fill="1A335C" w:val="clear"/>
            <w:tcMar>
              <w:top w:type="dxa" w:w="80"/>
              <w:left w:type="dxa" w:w="120"/>
              <w:bottom w:type="dxa" w:w="80"/>
              <w:right w:type="dxa" w:w="120"/>
            </w:tcMar>
          </w:tcPr>
          <w:p>
            <w:pPr>
              <w:jc w:val="center"/>
            </w:pPr>
            <w:r>
              <w:rPr>
                <w:rFonts w:ascii="Montserrat" w:cs="Montserrat" w:eastAsia="Montserrat" w:hAnsi="Montserrat"/>
                <w:b/>
                <w:bCs/>
                <w:color w:val="FFFFFF"/>
                <w:sz w:val="20"/>
                <w:szCs w:val="20"/>
              </w:rPr>
              <w:t xml:space="preserve">Doc</w:t>
            </w:r>
          </w:p>
        </w:tc>
        <w:tc>
          <w:tcPr>
            <w:tcW w:type="dxa" w:w="3400"/>
            <w:tcBorders>
              <w:top w:val="single" w:color="1A335C" w:sz="1"/>
              <w:left w:val="single" w:color="1A335C" w:sz="1"/>
              <w:bottom w:val="single" w:color="1A335C" w:sz="1"/>
              <w:right w:val="single" w:color="1A335C" w:sz="1"/>
            </w:tcBorders>
            <w:shd w:fill="1A335C" w:val="clear"/>
            <w:tcMar>
              <w:top w:type="dxa" w:w="80"/>
              <w:left w:type="dxa" w:w="120"/>
              <w:bottom w:type="dxa" w:w="80"/>
              <w:right w:type="dxa" w:w="120"/>
            </w:tcMar>
          </w:tcPr>
          <w:p>
            <w:pPr>
              <w:jc w:val="center"/>
            </w:pPr>
            <w:r>
              <w:rPr>
                <w:rFonts w:ascii="Montserrat" w:cs="Montserrat" w:eastAsia="Montserrat" w:hAnsi="Montserrat"/>
                <w:b/>
                <w:bCs/>
                <w:color w:val="FFFFFF"/>
                <w:sz w:val="20"/>
                <w:szCs w:val="20"/>
              </w:rPr>
              <w:t xml:space="preserve">Título</w:t>
            </w:r>
          </w:p>
        </w:tc>
        <w:tc>
          <w:tcPr>
            <w:tcW w:type="dxa" w:w="1500"/>
            <w:tcBorders>
              <w:top w:val="single" w:color="1A335C" w:sz="1"/>
              <w:left w:val="single" w:color="1A335C" w:sz="1"/>
              <w:bottom w:val="single" w:color="1A335C" w:sz="1"/>
              <w:right w:val="single" w:color="1A335C" w:sz="1"/>
            </w:tcBorders>
            <w:shd w:fill="1A335C" w:val="clear"/>
            <w:tcMar>
              <w:top w:type="dxa" w:w="80"/>
              <w:left w:type="dxa" w:w="120"/>
              <w:bottom w:type="dxa" w:w="80"/>
              <w:right w:type="dxa" w:w="120"/>
            </w:tcMar>
          </w:tcPr>
          <w:p>
            <w:pPr>
              <w:jc w:val="center"/>
            </w:pPr>
            <w:r>
              <w:rPr>
                <w:rFonts w:ascii="Montserrat" w:cs="Montserrat" w:eastAsia="Montserrat" w:hAnsi="Montserrat"/>
                <w:b/>
                <w:bCs/>
                <w:color w:val="FFFFFF"/>
                <w:sz w:val="20"/>
                <w:szCs w:val="20"/>
              </w:rPr>
              <w:t xml:space="preserve">Tipo</w:t>
            </w:r>
          </w:p>
        </w:tc>
        <w:tc>
          <w:tcPr>
            <w:tcW w:type="dxa" w:w="3060"/>
            <w:tcBorders>
              <w:top w:val="single" w:color="1A335C" w:sz="1"/>
              <w:left w:val="single" w:color="1A335C" w:sz="1"/>
              <w:bottom w:val="single" w:color="1A335C" w:sz="1"/>
              <w:right w:val="single" w:color="1A335C" w:sz="1"/>
            </w:tcBorders>
            <w:shd w:fill="1A335C" w:val="clear"/>
            <w:tcMar>
              <w:top w:type="dxa" w:w="80"/>
              <w:left w:type="dxa" w:w="120"/>
              <w:bottom w:type="dxa" w:w="80"/>
              <w:right w:type="dxa" w:w="120"/>
            </w:tcMar>
          </w:tcPr>
          <w:p>
            <w:pPr>
              <w:jc w:val="center"/>
            </w:pPr>
            <w:r>
              <w:rPr>
                <w:rFonts w:ascii="Montserrat" w:cs="Montserrat" w:eastAsia="Montserrat" w:hAnsi="Montserrat"/>
                <w:b/>
                <w:bCs/>
                <w:color w:val="FFFFFF"/>
                <w:sz w:val="20"/>
                <w:szCs w:val="20"/>
              </w:rPr>
              <w:t xml:space="preserve">Brecha que Cierra</w:t>
            </w:r>
          </w:p>
        </w:tc>
      </w:tr>
      <w:tr>
        <w:tc>
          <w:tcPr>
            <w:tcW w:type="dxa" w:w="1400"/>
            <w:tcBorders>
              <w:top w:val="single" w:color="1A335C" w:sz="1"/>
              <w:left w:val="single" w:color="1A335C" w:sz="1"/>
              <w:bottom w:val="single" w:color="1A335C" w:sz="1"/>
              <w:right w:val="single" w:color="1A335C" w:sz="1"/>
            </w:tcBorders>
            <w:shd w:fill="FFFFFF" w:val="clear"/>
            <w:tcMar>
              <w:top w:type="dxa" w:w="80"/>
              <w:left w:type="dxa" w:w="120"/>
              <w:bottom w:type="dxa" w:w="80"/>
              <w:right w:type="dxa" w:w="120"/>
            </w:tcMar>
          </w:tcPr>
          <w:p>
            <w:r>
              <w:rPr>
                <w:rFonts w:ascii="Inter" w:cs="Inter" w:eastAsia="Inter" w:hAnsi="Inter"/>
                <w:color w:val="334155"/>
                <w:sz w:val="20"/>
                <w:szCs w:val="20"/>
              </w:rPr>
              <w:t xml:space="preserve">PCD</w:t>
            </w:r>
          </w:p>
        </w:tc>
        <w:tc>
          <w:tcPr>
            <w:tcW w:type="dxa" w:w="3400"/>
            <w:tcBorders>
              <w:top w:val="single" w:color="1A335C" w:sz="1"/>
              <w:left w:val="single" w:color="1A335C" w:sz="1"/>
              <w:bottom w:val="single" w:color="1A335C" w:sz="1"/>
              <w:right w:val="single" w:color="1A335C" w:sz="1"/>
            </w:tcBorders>
            <w:shd w:fill="FFFFFF" w:val="clear"/>
            <w:tcMar>
              <w:top w:type="dxa" w:w="80"/>
              <w:left w:type="dxa" w:w="120"/>
              <w:bottom w:type="dxa" w:w="80"/>
              <w:right w:type="dxa" w:w="120"/>
            </w:tcMar>
          </w:tcPr>
          <w:p>
            <w:r>
              <w:rPr>
                <w:rFonts w:ascii="Inter" w:cs="Inter" w:eastAsia="Inter" w:hAnsi="Inter"/>
                <w:color w:val="334155"/>
                <w:sz w:val="20"/>
                <w:szCs w:val="20"/>
              </w:rPr>
              <w:t xml:space="preserve">Concepto de Producto</w:t>
            </w:r>
          </w:p>
        </w:tc>
        <w:tc>
          <w:tcPr>
            <w:tcW w:type="dxa" w:w="1500"/>
            <w:tcBorders>
              <w:top w:val="single" w:color="1A335C" w:sz="1"/>
              <w:left w:val="single" w:color="1A335C" w:sz="1"/>
              <w:bottom w:val="single" w:color="1A335C" w:sz="1"/>
              <w:right w:val="single" w:color="1A335C" w:sz="1"/>
            </w:tcBorders>
            <w:shd w:fill="FFFFFF" w:val="clear"/>
            <w:tcMar>
              <w:top w:type="dxa" w:w="80"/>
              <w:left w:type="dxa" w:w="120"/>
              <w:bottom w:type="dxa" w:w="80"/>
              <w:right w:type="dxa" w:w="120"/>
            </w:tcMar>
          </w:tcPr>
          <w:p>
            <w:r>
              <w:rPr>
                <w:rFonts w:ascii="Inter" w:cs="Inter" w:eastAsia="Inter" w:hAnsi="Inter"/>
                <w:color w:val="334155"/>
                <w:sz w:val="20"/>
                <w:szCs w:val="20"/>
              </w:rPr>
              <w:t xml:space="preserve">Conceptual</w:t>
            </w:r>
          </w:p>
        </w:tc>
        <w:tc>
          <w:tcPr>
            <w:tcW w:type="dxa" w:w="3060"/>
            <w:tcBorders>
              <w:top w:val="single" w:color="1A335C" w:sz="1"/>
              <w:left w:val="single" w:color="1A335C" w:sz="1"/>
              <w:bottom w:val="single" w:color="1A335C" w:sz="1"/>
              <w:right w:val="single" w:color="1A335C" w:sz="1"/>
            </w:tcBorders>
            <w:shd w:fill="FFFFFF" w:val="clear"/>
            <w:tcMar>
              <w:top w:type="dxa" w:w="80"/>
              <w:left w:type="dxa" w:w="120"/>
              <w:bottom w:type="dxa" w:w="80"/>
              <w:right w:type="dxa" w:w="120"/>
            </w:tcMar>
          </w:tcPr>
          <w:p>
            <w:r>
              <w:rPr>
                <w:rFonts w:ascii="Inter" w:cs="Inter" w:eastAsia="Inter" w:hAnsi="Inter"/>
                <w:color w:val="334155"/>
                <w:sz w:val="20"/>
                <w:szCs w:val="20"/>
              </w:rPr>
              <w:t xml:space="preserve">Visión y alcance</w:t>
            </w:r>
          </w:p>
        </w:tc>
      </w:tr>
      <w:tr>
        <w:tc>
          <w:tcPr>
            <w:tcW w:type="dxa" w:w="1400"/>
            <w:tcBorders>
              <w:top w:val="single" w:color="1A335C" w:sz="1"/>
              <w:left w:val="single" w:color="1A335C" w:sz="1"/>
              <w:bottom w:val="single" w:color="1A335C" w:sz="1"/>
              <w:right w:val="single" w:color="1A335C" w:sz="1"/>
            </w:tcBorders>
            <w:shd w:fill="EAF6F4" w:val="clear"/>
            <w:tcMar>
              <w:top w:type="dxa" w:w="80"/>
              <w:left w:type="dxa" w:w="120"/>
              <w:bottom w:type="dxa" w:w="80"/>
              <w:right w:type="dxa" w:w="120"/>
            </w:tcMar>
          </w:tcPr>
          <w:p>
            <w:r>
              <w:rPr>
                <w:rFonts w:ascii="Inter" w:cs="Inter" w:eastAsia="Inter" w:hAnsi="Inter"/>
                <w:color w:val="334155"/>
                <w:sz w:val="20"/>
                <w:szCs w:val="20"/>
              </w:rPr>
              <w:t xml:space="preserve">CI</w:t>
            </w:r>
          </w:p>
        </w:tc>
        <w:tc>
          <w:tcPr>
            <w:tcW w:type="dxa" w:w="3400"/>
            <w:tcBorders>
              <w:top w:val="single" w:color="1A335C" w:sz="1"/>
              <w:left w:val="single" w:color="1A335C" w:sz="1"/>
              <w:bottom w:val="single" w:color="1A335C" w:sz="1"/>
              <w:right w:val="single" w:color="1A335C" w:sz="1"/>
            </w:tcBorders>
            <w:shd w:fill="EAF6F4" w:val="clear"/>
            <w:tcMar>
              <w:top w:type="dxa" w:w="80"/>
              <w:left w:type="dxa" w:w="120"/>
              <w:bottom w:type="dxa" w:w="80"/>
              <w:right w:type="dxa" w:w="120"/>
            </w:tcMar>
          </w:tcPr>
          <w:p>
            <w:r>
              <w:rPr>
                <w:rFonts w:ascii="Inter" w:cs="Inter" w:eastAsia="Inter" w:hAnsi="Inter"/>
                <w:color w:val="334155"/>
                <w:sz w:val="20"/>
                <w:szCs w:val="20"/>
              </w:rPr>
              <w:t xml:space="preserve">Colorimétrica Institucional</w:t>
            </w:r>
          </w:p>
        </w:tc>
        <w:tc>
          <w:tcPr>
            <w:tcW w:type="dxa" w:w="1500"/>
            <w:tcBorders>
              <w:top w:val="single" w:color="1A335C" w:sz="1"/>
              <w:left w:val="single" w:color="1A335C" w:sz="1"/>
              <w:bottom w:val="single" w:color="1A335C" w:sz="1"/>
              <w:right w:val="single" w:color="1A335C" w:sz="1"/>
            </w:tcBorders>
            <w:shd w:fill="EAF6F4" w:val="clear"/>
            <w:tcMar>
              <w:top w:type="dxa" w:w="80"/>
              <w:left w:type="dxa" w:w="120"/>
              <w:bottom w:type="dxa" w:w="80"/>
              <w:right w:type="dxa" w:w="120"/>
            </w:tcMar>
          </w:tcPr>
          <w:p>
            <w:r>
              <w:rPr>
                <w:rFonts w:ascii="Inter" w:cs="Inter" w:eastAsia="Inter" w:hAnsi="Inter"/>
                <w:color w:val="334155"/>
                <w:sz w:val="20"/>
                <w:szCs w:val="20"/>
              </w:rPr>
              <w:t xml:space="preserve">Identidad</w:t>
            </w:r>
          </w:p>
        </w:tc>
        <w:tc>
          <w:tcPr>
            <w:tcW w:type="dxa" w:w="3060"/>
            <w:tcBorders>
              <w:top w:val="single" w:color="1A335C" w:sz="1"/>
              <w:left w:val="single" w:color="1A335C" w:sz="1"/>
              <w:bottom w:val="single" w:color="1A335C" w:sz="1"/>
              <w:right w:val="single" w:color="1A335C" w:sz="1"/>
            </w:tcBorders>
            <w:shd w:fill="EAF6F4" w:val="clear"/>
            <w:tcMar>
              <w:top w:type="dxa" w:w="80"/>
              <w:left w:type="dxa" w:w="120"/>
              <w:bottom w:type="dxa" w:w="80"/>
              <w:right w:type="dxa" w:w="120"/>
            </w:tcMar>
          </w:tcPr>
          <w:p>
            <w:r>
              <w:rPr>
                <w:rFonts w:ascii="Inter" w:cs="Inter" w:eastAsia="Inter" w:hAnsi="Inter"/>
                <w:color w:val="334155"/>
                <w:sz w:val="20"/>
                <w:szCs w:val="20"/>
              </w:rPr>
              <w:t xml:space="preserve">Branding y UI consistency</w:t>
            </w:r>
          </w:p>
        </w:tc>
      </w:tr>
      <w:tr>
        <w:tc>
          <w:tcPr>
            <w:tcW w:type="dxa" w:w="1400"/>
            <w:tcBorders>
              <w:top w:val="single" w:color="1A335C" w:sz="1"/>
              <w:left w:val="single" w:color="1A335C" w:sz="1"/>
              <w:bottom w:val="single" w:color="1A335C" w:sz="1"/>
              <w:right w:val="single" w:color="1A335C" w:sz="1"/>
            </w:tcBorders>
            <w:shd w:fill="FFFFFF" w:val="clear"/>
            <w:tcMar>
              <w:top w:type="dxa" w:w="80"/>
              <w:left w:type="dxa" w:w="120"/>
              <w:bottom w:type="dxa" w:w="80"/>
              <w:right w:type="dxa" w:w="120"/>
            </w:tcMar>
          </w:tcPr>
          <w:p>
            <w:r>
              <w:rPr>
                <w:rFonts w:ascii="Inter" w:cs="Inter" w:eastAsia="Inter" w:hAnsi="Inter"/>
                <w:color w:val="334155"/>
                <w:sz w:val="20"/>
                <w:szCs w:val="20"/>
              </w:rPr>
              <w:t xml:space="preserve">TDD-01</w:t>
            </w:r>
          </w:p>
        </w:tc>
        <w:tc>
          <w:tcPr>
            <w:tcW w:type="dxa" w:w="3400"/>
            <w:tcBorders>
              <w:top w:val="single" w:color="1A335C" w:sz="1"/>
              <w:left w:val="single" w:color="1A335C" w:sz="1"/>
              <w:bottom w:val="single" w:color="1A335C" w:sz="1"/>
              <w:right w:val="single" w:color="1A335C" w:sz="1"/>
            </w:tcBorders>
            <w:shd w:fill="FFFFFF" w:val="clear"/>
            <w:tcMar>
              <w:top w:type="dxa" w:w="80"/>
              <w:left w:type="dxa" w:w="120"/>
              <w:bottom w:type="dxa" w:w="80"/>
              <w:right w:type="dxa" w:w="120"/>
            </w:tcMar>
          </w:tcPr>
          <w:p>
            <w:r>
              <w:rPr>
                <w:rFonts w:ascii="Inter" w:cs="Inter" w:eastAsia="Inter" w:hAnsi="Inter"/>
                <w:color w:val="334155"/>
                <w:sz w:val="20"/>
                <w:szCs w:val="20"/>
              </w:rPr>
              <w:t xml:space="preserve">Arquitectura y Modelo de Datos</w:t>
            </w:r>
          </w:p>
        </w:tc>
        <w:tc>
          <w:tcPr>
            <w:tcW w:type="dxa" w:w="1500"/>
            <w:tcBorders>
              <w:top w:val="single" w:color="1A335C" w:sz="1"/>
              <w:left w:val="single" w:color="1A335C" w:sz="1"/>
              <w:bottom w:val="single" w:color="1A335C" w:sz="1"/>
              <w:right w:val="single" w:color="1A335C" w:sz="1"/>
            </w:tcBorders>
            <w:shd w:fill="FFFFFF" w:val="clear"/>
            <w:tcMar>
              <w:top w:type="dxa" w:w="80"/>
              <w:left w:type="dxa" w:w="120"/>
              <w:bottom w:type="dxa" w:w="80"/>
              <w:right w:type="dxa" w:w="120"/>
            </w:tcMar>
          </w:tcPr>
          <w:p>
            <w:r>
              <w:rPr>
                <w:rFonts w:ascii="Inter" w:cs="Inter" w:eastAsia="Inter" w:hAnsi="Inter"/>
                <w:color w:val="334155"/>
                <w:sz w:val="20"/>
                <w:szCs w:val="20"/>
              </w:rPr>
              <w:t xml:space="preserve">Técnico</w:t>
            </w:r>
          </w:p>
        </w:tc>
        <w:tc>
          <w:tcPr>
            <w:tcW w:type="dxa" w:w="3060"/>
            <w:tcBorders>
              <w:top w:val="single" w:color="1A335C" w:sz="1"/>
              <w:left w:val="single" w:color="1A335C" w:sz="1"/>
              <w:bottom w:val="single" w:color="1A335C" w:sz="1"/>
              <w:right w:val="single" w:color="1A335C" w:sz="1"/>
            </w:tcBorders>
            <w:shd w:fill="FFFFFF" w:val="clear"/>
            <w:tcMar>
              <w:top w:type="dxa" w:w="80"/>
              <w:left w:type="dxa" w:w="120"/>
              <w:bottom w:type="dxa" w:w="80"/>
              <w:right w:type="dxa" w:w="120"/>
            </w:tcMar>
          </w:tcPr>
          <w:p>
            <w:r>
              <w:rPr>
                <w:rFonts w:ascii="Inter" w:cs="Inter" w:eastAsia="Inter" w:hAnsi="Inter"/>
                <w:color w:val="334155"/>
                <w:sz w:val="20"/>
                <w:szCs w:val="20"/>
              </w:rPr>
              <w:t xml:space="preserve">Schema base</w:t>
            </w:r>
          </w:p>
        </w:tc>
      </w:tr>
      <w:tr>
        <w:tc>
          <w:tcPr>
            <w:tcW w:type="dxa" w:w="1400"/>
            <w:tcBorders>
              <w:top w:val="single" w:color="1A335C" w:sz="1"/>
              <w:left w:val="single" w:color="1A335C" w:sz="1"/>
              <w:bottom w:val="single" w:color="1A335C" w:sz="1"/>
              <w:right w:val="single" w:color="1A335C" w:sz="1"/>
            </w:tcBorders>
            <w:shd w:fill="EAF6F4" w:val="clear"/>
            <w:tcMar>
              <w:top w:type="dxa" w:w="80"/>
              <w:left w:type="dxa" w:w="120"/>
              <w:bottom w:type="dxa" w:w="80"/>
              <w:right w:type="dxa" w:w="120"/>
            </w:tcMar>
          </w:tcPr>
          <w:p>
            <w:r>
              <w:rPr>
                <w:rFonts w:ascii="Inter" w:cs="Inter" w:eastAsia="Inter" w:hAnsi="Inter"/>
                <w:color w:val="334155"/>
                <w:sz w:val="20"/>
                <w:szCs w:val="20"/>
              </w:rPr>
              <w:t xml:space="preserve">TDD-02</w:t>
            </w:r>
          </w:p>
        </w:tc>
        <w:tc>
          <w:tcPr>
            <w:tcW w:type="dxa" w:w="3400"/>
            <w:tcBorders>
              <w:top w:val="single" w:color="1A335C" w:sz="1"/>
              <w:left w:val="single" w:color="1A335C" w:sz="1"/>
              <w:bottom w:val="single" w:color="1A335C" w:sz="1"/>
              <w:right w:val="single" w:color="1A335C" w:sz="1"/>
            </w:tcBorders>
            <w:shd w:fill="EAF6F4" w:val="clear"/>
            <w:tcMar>
              <w:top w:type="dxa" w:w="80"/>
              <w:left w:type="dxa" w:w="120"/>
              <w:bottom w:type="dxa" w:w="80"/>
              <w:right w:type="dxa" w:w="120"/>
            </w:tcMar>
          </w:tcPr>
          <w:p>
            <w:r>
              <w:rPr>
                <w:rFonts w:ascii="Inter" w:cs="Inter" w:eastAsia="Inter" w:hAnsi="Inter"/>
                <w:color w:val="334155"/>
                <w:sz w:val="20"/>
                <w:szCs w:val="20"/>
              </w:rPr>
              <w:t xml:space="preserve">Flujos y Pseudocódigo</w:t>
            </w:r>
          </w:p>
        </w:tc>
        <w:tc>
          <w:tcPr>
            <w:tcW w:type="dxa" w:w="1500"/>
            <w:tcBorders>
              <w:top w:val="single" w:color="1A335C" w:sz="1"/>
              <w:left w:val="single" w:color="1A335C" w:sz="1"/>
              <w:bottom w:val="single" w:color="1A335C" w:sz="1"/>
              <w:right w:val="single" w:color="1A335C" w:sz="1"/>
            </w:tcBorders>
            <w:shd w:fill="EAF6F4" w:val="clear"/>
            <w:tcMar>
              <w:top w:type="dxa" w:w="80"/>
              <w:left w:type="dxa" w:w="120"/>
              <w:bottom w:type="dxa" w:w="80"/>
              <w:right w:type="dxa" w:w="120"/>
            </w:tcMar>
          </w:tcPr>
          <w:p>
            <w:r>
              <w:rPr>
                <w:rFonts w:ascii="Inter" w:cs="Inter" w:eastAsia="Inter" w:hAnsi="Inter"/>
                <w:color w:val="334155"/>
                <w:sz w:val="20"/>
                <w:szCs w:val="20"/>
              </w:rPr>
              <w:t xml:space="preserve">Técnico</w:t>
            </w:r>
          </w:p>
        </w:tc>
        <w:tc>
          <w:tcPr>
            <w:tcW w:type="dxa" w:w="3060"/>
            <w:tcBorders>
              <w:top w:val="single" w:color="1A335C" w:sz="1"/>
              <w:left w:val="single" w:color="1A335C" w:sz="1"/>
              <w:bottom w:val="single" w:color="1A335C" w:sz="1"/>
              <w:right w:val="single" w:color="1A335C" w:sz="1"/>
            </w:tcBorders>
            <w:shd w:fill="EAF6F4" w:val="clear"/>
            <w:tcMar>
              <w:top w:type="dxa" w:w="80"/>
              <w:left w:type="dxa" w:w="120"/>
              <w:bottom w:type="dxa" w:w="80"/>
              <w:right w:type="dxa" w:w="120"/>
            </w:tcMar>
          </w:tcPr>
          <w:p>
            <w:r>
              <w:rPr>
                <w:rFonts w:ascii="Inter" w:cs="Inter" w:eastAsia="Inter" w:hAnsi="Inter"/>
                <w:color w:val="334155"/>
                <w:sz w:val="20"/>
                <w:szCs w:val="20"/>
              </w:rPr>
              <w:t xml:space="preserve">Lógica de aplicación</w:t>
            </w:r>
          </w:p>
        </w:tc>
      </w:tr>
      <w:tr>
        <w:tc>
          <w:tcPr>
            <w:tcW w:type="dxa" w:w="1400"/>
            <w:tcBorders>
              <w:top w:val="single" w:color="1A335C" w:sz="1"/>
              <w:left w:val="single" w:color="1A335C" w:sz="1"/>
              <w:bottom w:val="single" w:color="1A335C" w:sz="1"/>
              <w:right w:val="single" w:color="1A335C" w:sz="1"/>
            </w:tcBorders>
            <w:shd w:fill="FFFFFF" w:val="clear"/>
            <w:tcMar>
              <w:top w:type="dxa" w:w="80"/>
              <w:left w:type="dxa" w:w="120"/>
              <w:bottom w:type="dxa" w:w="80"/>
              <w:right w:type="dxa" w:w="120"/>
            </w:tcMar>
          </w:tcPr>
          <w:p>
            <w:r>
              <w:rPr>
                <w:rFonts w:ascii="Inter" w:cs="Inter" w:eastAsia="Inter" w:hAnsi="Inter"/>
                <w:color w:val="334155"/>
                <w:sz w:val="20"/>
                <w:szCs w:val="20"/>
              </w:rPr>
              <w:t xml:space="preserve">TDD-03</w:t>
            </w:r>
          </w:p>
        </w:tc>
        <w:tc>
          <w:tcPr>
            <w:tcW w:type="dxa" w:w="3400"/>
            <w:tcBorders>
              <w:top w:val="single" w:color="1A335C" w:sz="1"/>
              <w:left w:val="single" w:color="1A335C" w:sz="1"/>
              <w:bottom w:val="single" w:color="1A335C" w:sz="1"/>
              <w:right w:val="single" w:color="1A335C" w:sz="1"/>
            </w:tcBorders>
            <w:shd w:fill="FFFFFF" w:val="clear"/>
            <w:tcMar>
              <w:top w:type="dxa" w:w="80"/>
              <w:left w:type="dxa" w:w="120"/>
              <w:bottom w:type="dxa" w:w="80"/>
              <w:right w:type="dxa" w:w="120"/>
            </w:tcMar>
          </w:tcPr>
          <w:p>
            <w:r>
              <w:rPr>
                <w:rFonts w:ascii="Inter" w:cs="Inter" w:eastAsia="Inter" w:hAnsi="Inter"/>
                <w:color w:val="334155"/>
                <w:sz w:val="20"/>
                <w:szCs w:val="20"/>
              </w:rPr>
              <w:t xml:space="preserve">Seguridad y RBAC</w:t>
            </w:r>
          </w:p>
        </w:tc>
        <w:tc>
          <w:tcPr>
            <w:tcW w:type="dxa" w:w="1500"/>
            <w:tcBorders>
              <w:top w:val="single" w:color="1A335C" w:sz="1"/>
              <w:left w:val="single" w:color="1A335C" w:sz="1"/>
              <w:bottom w:val="single" w:color="1A335C" w:sz="1"/>
              <w:right w:val="single" w:color="1A335C" w:sz="1"/>
            </w:tcBorders>
            <w:shd w:fill="FFFFFF" w:val="clear"/>
            <w:tcMar>
              <w:top w:type="dxa" w:w="80"/>
              <w:left w:type="dxa" w:w="120"/>
              <w:bottom w:type="dxa" w:w="80"/>
              <w:right w:type="dxa" w:w="120"/>
            </w:tcMar>
          </w:tcPr>
          <w:p>
            <w:r>
              <w:rPr>
                <w:rFonts w:ascii="Inter" w:cs="Inter" w:eastAsia="Inter" w:hAnsi="Inter"/>
                <w:color w:val="334155"/>
                <w:sz w:val="20"/>
                <w:szCs w:val="20"/>
              </w:rPr>
              <w:t xml:space="preserve">Técnico</w:t>
            </w:r>
          </w:p>
        </w:tc>
        <w:tc>
          <w:tcPr>
            <w:tcW w:type="dxa" w:w="3060"/>
            <w:tcBorders>
              <w:top w:val="single" w:color="1A335C" w:sz="1"/>
              <w:left w:val="single" w:color="1A335C" w:sz="1"/>
              <w:bottom w:val="single" w:color="1A335C" w:sz="1"/>
              <w:right w:val="single" w:color="1A335C" w:sz="1"/>
            </w:tcBorders>
            <w:shd w:fill="FFFFFF" w:val="clear"/>
            <w:tcMar>
              <w:top w:type="dxa" w:w="80"/>
              <w:left w:type="dxa" w:w="120"/>
              <w:bottom w:type="dxa" w:w="80"/>
              <w:right w:type="dxa" w:w="120"/>
            </w:tcMar>
          </w:tcPr>
          <w:p>
            <w:r>
              <w:rPr>
                <w:rFonts w:ascii="Inter" w:cs="Inter" w:eastAsia="Inter" w:hAnsi="Inter"/>
                <w:color w:val="334155"/>
                <w:sz w:val="20"/>
                <w:szCs w:val="20"/>
              </w:rPr>
              <w:t xml:space="preserve">Permisos y multitenancy</w:t>
            </w:r>
          </w:p>
        </w:tc>
      </w:tr>
      <w:tr>
        <w:tc>
          <w:tcPr>
            <w:tcW w:type="dxa" w:w="1400"/>
            <w:tcBorders>
              <w:top w:val="single" w:color="1A335C" w:sz="1"/>
              <w:left w:val="single" w:color="1A335C" w:sz="1"/>
              <w:bottom w:val="single" w:color="1A335C" w:sz="1"/>
              <w:right w:val="single" w:color="1A335C" w:sz="1"/>
            </w:tcBorders>
            <w:shd w:fill="EAF6F4" w:val="clear"/>
            <w:tcMar>
              <w:top w:type="dxa" w:w="80"/>
              <w:left w:type="dxa" w:w="120"/>
              <w:bottom w:type="dxa" w:w="80"/>
              <w:right w:type="dxa" w:w="120"/>
            </w:tcMar>
          </w:tcPr>
          <w:p>
            <w:r>
              <w:rPr>
                <w:rFonts w:ascii="Inter" w:cs="Inter" w:eastAsia="Inter" w:hAnsi="Inter"/>
                <w:color w:val="334155"/>
                <w:sz w:val="20"/>
                <w:szCs w:val="20"/>
              </w:rPr>
              <w:t xml:space="preserve">TDD-04</w:t>
            </w:r>
          </w:p>
        </w:tc>
        <w:tc>
          <w:tcPr>
            <w:tcW w:type="dxa" w:w="3400"/>
            <w:tcBorders>
              <w:top w:val="single" w:color="1A335C" w:sz="1"/>
              <w:left w:val="single" w:color="1A335C" w:sz="1"/>
              <w:bottom w:val="single" w:color="1A335C" w:sz="1"/>
              <w:right w:val="single" w:color="1A335C" w:sz="1"/>
            </w:tcBorders>
            <w:shd w:fill="EAF6F4" w:val="clear"/>
            <w:tcMar>
              <w:top w:type="dxa" w:w="80"/>
              <w:left w:type="dxa" w:w="120"/>
              <w:bottom w:type="dxa" w:w="80"/>
              <w:right w:type="dxa" w:w="120"/>
            </w:tcMar>
          </w:tcPr>
          <w:p>
            <w:r>
              <w:rPr>
                <w:rFonts w:ascii="Inter" w:cs="Inter" w:eastAsia="Inter" w:hAnsi="Inter"/>
                <w:color w:val="334155"/>
                <w:sz w:val="20"/>
                <w:szCs w:val="20"/>
              </w:rPr>
              <w:t xml:space="preserve">Motor de Biomasa</w:t>
            </w:r>
          </w:p>
        </w:tc>
        <w:tc>
          <w:tcPr>
            <w:tcW w:type="dxa" w:w="1500"/>
            <w:tcBorders>
              <w:top w:val="single" w:color="1A335C" w:sz="1"/>
              <w:left w:val="single" w:color="1A335C" w:sz="1"/>
              <w:bottom w:val="single" w:color="1A335C" w:sz="1"/>
              <w:right w:val="single" w:color="1A335C" w:sz="1"/>
            </w:tcBorders>
            <w:shd w:fill="EAF6F4" w:val="clear"/>
            <w:tcMar>
              <w:top w:type="dxa" w:w="80"/>
              <w:left w:type="dxa" w:w="120"/>
              <w:bottom w:type="dxa" w:w="80"/>
              <w:right w:type="dxa" w:w="120"/>
            </w:tcMar>
          </w:tcPr>
          <w:p>
            <w:r>
              <w:rPr>
                <w:rFonts w:ascii="Inter" w:cs="Inter" w:eastAsia="Inter" w:hAnsi="Inter"/>
                <w:color w:val="334155"/>
                <w:sz w:val="20"/>
                <w:szCs w:val="20"/>
              </w:rPr>
              <w:t xml:space="preserve">Técnico</w:t>
            </w:r>
          </w:p>
        </w:tc>
        <w:tc>
          <w:tcPr>
            <w:tcW w:type="dxa" w:w="3060"/>
            <w:tcBorders>
              <w:top w:val="single" w:color="1A335C" w:sz="1"/>
              <w:left w:val="single" w:color="1A335C" w:sz="1"/>
              <w:bottom w:val="single" w:color="1A335C" w:sz="1"/>
              <w:right w:val="single" w:color="1A335C" w:sz="1"/>
            </w:tcBorders>
            <w:shd w:fill="EAF6F4" w:val="clear"/>
            <w:tcMar>
              <w:top w:type="dxa" w:w="80"/>
              <w:left w:type="dxa" w:w="120"/>
              <w:bottom w:type="dxa" w:w="80"/>
              <w:right w:type="dxa" w:w="120"/>
            </w:tcMar>
          </w:tcPr>
          <w:p>
            <w:r>
              <w:rPr>
                <w:rFonts w:ascii="Inter" w:cs="Inter" w:eastAsia="Inter" w:hAnsi="Inter"/>
                <w:color w:val="334155"/>
                <w:sz w:val="20"/>
                <w:szCs w:val="20"/>
              </w:rPr>
              <w:t xml:space="preserve">Snapshot biométrico, LMAx local</w:t>
            </w:r>
          </w:p>
        </w:tc>
      </w:tr>
      <w:tr>
        <w:tc>
          <w:tcPr>
            <w:tcW w:type="dxa" w:w="1400"/>
            <w:tcBorders>
              <w:top w:val="single" w:color="1A335C" w:sz="1"/>
              <w:left w:val="single" w:color="1A335C" w:sz="1"/>
              <w:bottom w:val="single" w:color="1A335C" w:sz="1"/>
              <w:right w:val="single" w:color="1A335C" w:sz="1"/>
            </w:tcBorders>
            <w:shd w:fill="FFFFFF" w:val="clear"/>
            <w:tcMar>
              <w:top w:type="dxa" w:w="80"/>
              <w:left w:type="dxa" w:w="120"/>
              <w:bottom w:type="dxa" w:w="80"/>
              <w:right w:type="dxa" w:w="120"/>
            </w:tcMar>
          </w:tcPr>
          <w:p>
            <w:r>
              <w:rPr>
                <w:rFonts w:ascii="Inter" w:cs="Inter" w:eastAsia="Inter" w:hAnsi="Inter"/>
                <w:color w:val="334155"/>
                <w:sz w:val="20"/>
                <w:szCs w:val="20"/>
              </w:rPr>
              <w:t xml:space="preserve">TDD-05</w:t>
            </w:r>
          </w:p>
        </w:tc>
        <w:tc>
          <w:tcPr>
            <w:tcW w:type="dxa" w:w="3400"/>
            <w:tcBorders>
              <w:top w:val="single" w:color="1A335C" w:sz="1"/>
              <w:left w:val="single" w:color="1A335C" w:sz="1"/>
              <w:bottom w:val="single" w:color="1A335C" w:sz="1"/>
              <w:right w:val="single" w:color="1A335C" w:sz="1"/>
            </w:tcBorders>
            <w:shd w:fill="FFFFFF" w:val="clear"/>
            <w:tcMar>
              <w:top w:type="dxa" w:w="80"/>
              <w:left w:type="dxa" w:w="120"/>
              <w:bottom w:type="dxa" w:w="80"/>
              <w:right w:type="dxa" w:w="120"/>
            </w:tcMar>
          </w:tcPr>
          <w:p>
            <w:r>
              <w:rPr>
                <w:rFonts w:ascii="Inter" w:cs="Inter" w:eastAsia="Inter" w:hAnsi="Inter"/>
                <w:color w:val="334155"/>
                <w:sz w:val="20"/>
                <w:szCs w:val="20"/>
              </w:rPr>
              <w:t xml:space="preserve">Protocolo CRDT</w:t>
            </w:r>
          </w:p>
        </w:tc>
        <w:tc>
          <w:tcPr>
            <w:tcW w:type="dxa" w:w="1500"/>
            <w:tcBorders>
              <w:top w:val="single" w:color="1A335C" w:sz="1"/>
              <w:left w:val="single" w:color="1A335C" w:sz="1"/>
              <w:bottom w:val="single" w:color="1A335C" w:sz="1"/>
              <w:right w:val="single" w:color="1A335C" w:sz="1"/>
            </w:tcBorders>
            <w:shd w:fill="FFFFFF" w:val="clear"/>
            <w:tcMar>
              <w:top w:type="dxa" w:w="80"/>
              <w:left w:type="dxa" w:w="120"/>
              <w:bottom w:type="dxa" w:w="80"/>
              <w:right w:type="dxa" w:w="120"/>
            </w:tcMar>
          </w:tcPr>
          <w:p>
            <w:r>
              <w:rPr>
                <w:rFonts w:ascii="Inter" w:cs="Inter" w:eastAsia="Inter" w:hAnsi="Inter"/>
                <w:color w:val="334155"/>
                <w:sz w:val="20"/>
                <w:szCs w:val="20"/>
              </w:rPr>
              <w:t xml:space="preserve">Técnico</w:t>
            </w:r>
          </w:p>
        </w:tc>
        <w:tc>
          <w:tcPr>
            <w:tcW w:type="dxa" w:w="3060"/>
            <w:tcBorders>
              <w:top w:val="single" w:color="1A335C" w:sz="1"/>
              <w:left w:val="single" w:color="1A335C" w:sz="1"/>
              <w:bottom w:val="single" w:color="1A335C" w:sz="1"/>
              <w:right w:val="single" w:color="1A335C" w:sz="1"/>
            </w:tcBorders>
            <w:shd w:fill="FFFFFF" w:val="clear"/>
            <w:tcMar>
              <w:top w:type="dxa" w:w="80"/>
              <w:left w:type="dxa" w:w="120"/>
              <w:bottom w:type="dxa" w:w="80"/>
              <w:right w:type="dxa" w:w="120"/>
            </w:tcMar>
          </w:tcPr>
          <w:p>
            <w:r>
              <w:rPr>
                <w:rFonts w:ascii="Inter" w:cs="Inter" w:eastAsia="Inter" w:hAnsi="Inter"/>
                <w:color w:val="334155"/>
                <w:sz w:val="20"/>
                <w:szCs w:val="20"/>
              </w:rPr>
              <w:t xml:space="preserve">Convergencia concurrente</w:t>
            </w:r>
          </w:p>
        </w:tc>
      </w:tr>
      <w:tr>
        <w:tc>
          <w:tcPr>
            <w:tcW w:type="dxa" w:w="1400"/>
            <w:tcBorders>
              <w:top w:val="single" w:color="1A335C" w:sz="1"/>
              <w:left w:val="single" w:color="1A335C" w:sz="1"/>
              <w:bottom w:val="single" w:color="1A335C" w:sz="1"/>
              <w:right w:val="single" w:color="1A335C" w:sz="1"/>
            </w:tcBorders>
            <w:shd w:fill="EAF6F4" w:val="clear"/>
            <w:tcMar>
              <w:top w:type="dxa" w:w="80"/>
              <w:left w:type="dxa" w:w="120"/>
              <w:bottom w:type="dxa" w:w="80"/>
              <w:right w:type="dxa" w:w="120"/>
            </w:tcMar>
          </w:tcPr>
          <w:p>
            <w:r>
              <w:rPr>
                <w:rFonts w:ascii="Inter" w:cs="Inter" w:eastAsia="Inter" w:hAnsi="Inter"/>
                <w:color w:val="334155"/>
                <w:sz w:val="20"/>
                <w:szCs w:val="20"/>
              </w:rPr>
              <w:t xml:space="preserve">TDD-06</w:t>
            </w:r>
          </w:p>
        </w:tc>
        <w:tc>
          <w:tcPr>
            <w:tcW w:type="dxa" w:w="3400"/>
            <w:tcBorders>
              <w:top w:val="single" w:color="1A335C" w:sz="1"/>
              <w:left w:val="single" w:color="1A335C" w:sz="1"/>
              <w:bottom w:val="single" w:color="1A335C" w:sz="1"/>
              <w:right w:val="single" w:color="1A335C" w:sz="1"/>
            </w:tcBorders>
            <w:shd w:fill="EAF6F4" w:val="clear"/>
            <w:tcMar>
              <w:top w:type="dxa" w:w="80"/>
              <w:left w:type="dxa" w:w="120"/>
              <w:bottom w:type="dxa" w:w="80"/>
              <w:right w:type="dxa" w:w="120"/>
            </w:tcMar>
          </w:tcPr>
          <w:p>
            <w:r>
              <w:rPr>
                <w:rFonts w:ascii="Inter" w:cs="Inter" w:eastAsia="Inter" w:hAnsi="Inter"/>
                <w:color w:val="334155"/>
                <w:sz w:val="20"/>
                <w:szCs w:val="20"/>
              </w:rPr>
              <w:t xml:space="preserve">CTQ Ampliados</w:t>
            </w:r>
          </w:p>
        </w:tc>
        <w:tc>
          <w:tcPr>
            <w:tcW w:type="dxa" w:w="1500"/>
            <w:tcBorders>
              <w:top w:val="single" w:color="1A335C" w:sz="1"/>
              <w:left w:val="single" w:color="1A335C" w:sz="1"/>
              <w:bottom w:val="single" w:color="1A335C" w:sz="1"/>
              <w:right w:val="single" w:color="1A335C" w:sz="1"/>
            </w:tcBorders>
            <w:shd w:fill="EAF6F4" w:val="clear"/>
            <w:tcMar>
              <w:top w:type="dxa" w:w="80"/>
              <w:left w:type="dxa" w:w="120"/>
              <w:bottom w:type="dxa" w:w="80"/>
              <w:right w:type="dxa" w:w="120"/>
            </w:tcMar>
          </w:tcPr>
          <w:p>
            <w:r>
              <w:rPr>
                <w:rFonts w:ascii="Inter" w:cs="Inter" w:eastAsia="Inter" w:hAnsi="Inter"/>
                <w:color w:val="334155"/>
                <w:sz w:val="20"/>
                <w:szCs w:val="20"/>
              </w:rPr>
              <w:t xml:space="preserve">Técnico</w:t>
            </w:r>
          </w:p>
        </w:tc>
        <w:tc>
          <w:tcPr>
            <w:tcW w:type="dxa" w:w="3060"/>
            <w:tcBorders>
              <w:top w:val="single" w:color="1A335C" w:sz="1"/>
              <w:left w:val="single" w:color="1A335C" w:sz="1"/>
              <w:bottom w:val="single" w:color="1A335C" w:sz="1"/>
              <w:right w:val="single" w:color="1A335C" w:sz="1"/>
            </w:tcBorders>
            <w:shd w:fill="EAF6F4" w:val="clear"/>
            <w:tcMar>
              <w:top w:type="dxa" w:w="80"/>
              <w:left w:type="dxa" w:w="120"/>
              <w:bottom w:type="dxa" w:w="80"/>
              <w:right w:type="dxa" w:w="120"/>
            </w:tcMar>
          </w:tcPr>
          <w:p>
            <w:r>
              <w:rPr>
                <w:rFonts w:ascii="Inter" w:cs="Inter" w:eastAsia="Inter" w:hAnsi="Inter"/>
                <w:color w:val="334155"/>
                <w:sz w:val="20"/>
                <w:szCs w:val="20"/>
              </w:rPr>
              <w:t xml:space="preserve">TAN, NO2, alcalinidad, Secchi</w:t>
            </w:r>
          </w:p>
        </w:tc>
      </w:tr>
      <w:tr>
        <w:tc>
          <w:tcPr>
            <w:tcW w:type="dxa" w:w="1400"/>
            <w:tcBorders>
              <w:top w:val="single" w:color="1A335C" w:sz="1"/>
              <w:left w:val="single" w:color="1A335C" w:sz="1"/>
              <w:bottom w:val="single" w:color="1A335C" w:sz="1"/>
              <w:right w:val="single" w:color="1A335C" w:sz="1"/>
            </w:tcBorders>
            <w:shd w:fill="FFFFFF" w:val="clear"/>
            <w:tcMar>
              <w:top w:type="dxa" w:w="80"/>
              <w:left w:type="dxa" w:w="120"/>
              <w:bottom w:type="dxa" w:w="80"/>
              <w:right w:type="dxa" w:w="120"/>
            </w:tcMar>
          </w:tcPr>
          <w:p>
            <w:r>
              <w:rPr>
                <w:rFonts w:ascii="Inter" w:cs="Inter" w:eastAsia="Inter" w:hAnsi="Inter"/>
                <w:color w:val="334155"/>
                <w:sz w:val="20"/>
                <w:szCs w:val="20"/>
              </w:rPr>
              <w:t xml:space="preserve">TDD-07</w:t>
            </w:r>
          </w:p>
        </w:tc>
        <w:tc>
          <w:tcPr>
            <w:tcW w:type="dxa" w:w="3400"/>
            <w:tcBorders>
              <w:top w:val="single" w:color="1A335C" w:sz="1"/>
              <w:left w:val="single" w:color="1A335C" w:sz="1"/>
              <w:bottom w:val="single" w:color="1A335C" w:sz="1"/>
              <w:right w:val="single" w:color="1A335C" w:sz="1"/>
            </w:tcBorders>
            <w:shd w:fill="FFFFFF" w:val="clear"/>
            <w:tcMar>
              <w:top w:type="dxa" w:w="80"/>
              <w:left w:type="dxa" w:w="120"/>
              <w:bottom w:type="dxa" w:w="80"/>
              <w:right w:type="dxa" w:w="120"/>
            </w:tcMar>
          </w:tcPr>
          <w:p>
            <w:r>
              <w:rPr>
                <w:rFonts w:ascii="Inter" w:cs="Inter" w:eastAsia="Inter" w:hAnsi="Inter"/>
                <w:color w:val="334155"/>
                <w:sz w:val="20"/>
                <w:szCs w:val="20"/>
              </w:rPr>
              <w:t xml:space="preserve">JWT y Compliance ICA</w:t>
            </w:r>
          </w:p>
        </w:tc>
        <w:tc>
          <w:tcPr>
            <w:tcW w:type="dxa" w:w="1500"/>
            <w:tcBorders>
              <w:top w:val="single" w:color="1A335C" w:sz="1"/>
              <w:left w:val="single" w:color="1A335C" w:sz="1"/>
              <w:bottom w:val="single" w:color="1A335C" w:sz="1"/>
              <w:right w:val="single" w:color="1A335C" w:sz="1"/>
            </w:tcBorders>
            <w:shd w:fill="FFFFFF" w:val="clear"/>
            <w:tcMar>
              <w:top w:type="dxa" w:w="80"/>
              <w:left w:type="dxa" w:w="120"/>
              <w:bottom w:type="dxa" w:w="80"/>
              <w:right w:type="dxa" w:w="120"/>
            </w:tcMar>
          </w:tcPr>
          <w:p>
            <w:r>
              <w:rPr>
                <w:rFonts w:ascii="Inter" w:cs="Inter" w:eastAsia="Inter" w:hAnsi="Inter"/>
                <w:color w:val="334155"/>
                <w:sz w:val="20"/>
                <w:szCs w:val="20"/>
              </w:rPr>
              <w:t xml:space="preserve">Técnico</w:t>
            </w:r>
          </w:p>
        </w:tc>
        <w:tc>
          <w:tcPr>
            <w:tcW w:type="dxa" w:w="3060"/>
            <w:tcBorders>
              <w:top w:val="single" w:color="1A335C" w:sz="1"/>
              <w:left w:val="single" w:color="1A335C" w:sz="1"/>
              <w:bottom w:val="single" w:color="1A335C" w:sz="1"/>
              <w:right w:val="single" w:color="1A335C" w:sz="1"/>
            </w:tcBorders>
            <w:shd w:fill="FFFFFF" w:val="clear"/>
            <w:tcMar>
              <w:top w:type="dxa" w:w="80"/>
              <w:left w:type="dxa" w:w="120"/>
              <w:bottom w:type="dxa" w:w="80"/>
              <w:right w:type="dxa" w:w="120"/>
            </w:tcMar>
          </w:tcPr>
          <w:p>
            <w:r>
              <w:rPr>
                <w:rFonts w:ascii="Inter" w:cs="Inter" w:eastAsia="Inter" w:hAnsi="Inter"/>
                <w:color w:val="334155"/>
                <w:sz w:val="20"/>
                <w:szCs w:val="20"/>
              </w:rPr>
              <w:t xml:space="preserve">Token dual + insumos sanitarios</w:t>
            </w:r>
          </w:p>
        </w:tc>
      </w:tr>
      <w:tr>
        <w:tc>
          <w:tcPr>
            <w:tcW w:type="dxa" w:w="1400"/>
            <w:tcBorders>
              <w:top w:val="single" w:color="1A335C" w:sz="1"/>
              <w:left w:val="single" w:color="1A335C" w:sz="1"/>
              <w:bottom w:val="single" w:color="1A335C" w:sz="1"/>
              <w:right w:val="single" w:color="1A335C" w:sz="1"/>
            </w:tcBorders>
            <w:shd w:fill="EAF6F4" w:val="clear"/>
            <w:tcMar>
              <w:top w:type="dxa" w:w="80"/>
              <w:left w:type="dxa" w:w="120"/>
              <w:bottom w:type="dxa" w:w="80"/>
              <w:right w:type="dxa" w:w="120"/>
            </w:tcMar>
          </w:tcPr>
          <w:p>
            <w:r>
              <w:rPr>
                <w:rFonts w:ascii="Inter" w:cs="Inter" w:eastAsia="Inter" w:hAnsi="Inter"/>
                <w:color w:val="334155"/>
                <w:sz w:val="20"/>
                <w:szCs w:val="20"/>
              </w:rPr>
              <w:t xml:space="preserve">TDD-08</w:t>
            </w:r>
          </w:p>
        </w:tc>
        <w:tc>
          <w:tcPr>
            <w:tcW w:type="dxa" w:w="3400"/>
            <w:tcBorders>
              <w:top w:val="single" w:color="1A335C" w:sz="1"/>
              <w:left w:val="single" w:color="1A335C" w:sz="1"/>
              <w:bottom w:val="single" w:color="1A335C" w:sz="1"/>
              <w:right w:val="single" w:color="1A335C" w:sz="1"/>
            </w:tcBorders>
            <w:shd w:fill="EAF6F4" w:val="clear"/>
            <w:tcMar>
              <w:top w:type="dxa" w:w="80"/>
              <w:left w:type="dxa" w:w="120"/>
              <w:bottom w:type="dxa" w:w="80"/>
              <w:right w:type="dxa" w:w="120"/>
            </w:tcMar>
          </w:tcPr>
          <w:p>
            <w:r>
              <w:rPr>
                <w:rFonts w:ascii="Inter" w:cs="Inter" w:eastAsia="Inter" w:hAnsi="Inter"/>
                <w:color w:val="334155"/>
                <w:sz w:val="20"/>
                <w:szCs w:val="20"/>
              </w:rPr>
              <w:t xml:space="preserve">Identidad de Dispositivo</w:t>
            </w:r>
          </w:p>
        </w:tc>
        <w:tc>
          <w:tcPr>
            <w:tcW w:type="dxa" w:w="1500"/>
            <w:tcBorders>
              <w:top w:val="single" w:color="1A335C" w:sz="1"/>
              <w:left w:val="single" w:color="1A335C" w:sz="1"/>
              <w:bottom w:val="single" w:color="1A335C" w:sz="1"/>
              <w:right w:val="single" w:color="1A335C" w:sz="1"/>
            </w:tcBorders>
            <w:shd w:fill="EAF6F4" w:val="clear"/>
            <w:tcMar>
              <w:top w:type="dxa" w:w="80"/>
              <w:left w:type="dxa" w:w="120"/>
              <w:bottom w:type="dxa" w:w="80"/>
              <w:right w:type="dxa" w:w="120"/>
            </w:tcMar>
          </w:tcPr>
          <w:p>
            <w:r>
              <w:rPr>
                <w:rFonts w:ascii="Inter" w:cs="Inter" w:eastAsia="Inter" w:hAnsi="Inter"/>
                <w:color w:val="334155"/>
                <w:sz w:val="20"/>
                <w:szCs w:val="20"/>
              </w:rPr>
              <w:t xml:space="preserve">Técnico</w:t>
            </w:r>
          </w:p>
        </w:tc>
        <w:tc>
          <w:tcPr>
            <w:tcW w:type="dxa" w:w="3060"/>
            <w:tcBorders>
              <w:top w:val="single" w:color="1A335C" w:sz="1"/>
              <w:left w:val="single" w:color="1A335C" w:sz="1"/>
              <w:bottom w:val="single" w:color="1A335C" w:sz="1"/>
              <w:right w:val="single" w:color="1A335C" w:sz="1"/>
            </w:tcBorders>
            <w:shd w:fill="EAF6F4" w:val="clear"/>
            <w:tcMar>
              <w:top w:type="dxa" w:w="80"/>
              <w:left w:type="dxa" w:w="120"/>
              <w:bottom w:type="dxa" w:w="80"/>
              <w:right w:type="dxa" w:w="120"/>
            </w:tcMar>
          </w:tcPr>
          <w:p>
            <w:r>
              <w:rPr>
                <w:rFonts w:ascii="Inter" w:cs="Inter" w:eastAsia="Inter" w:hAnsi="Inter"/>
                <w:color w:val="334155"/>
                <w:sz w:val="20"/>
                <w:szCs w:val="20"/>
              </w:rPr>
              <w:t xml:space="preserve">Device ID y revocación</w:t>
            </w:r>
          </w:p>
        </w:tc>
      </w:tr>
      <w:tr>
        <w:tc>
          <w:tcPr>
            <w:tcW w:type="dxa" w:w="1400"/>
            <w:tcBorders>
              <w:top w:val="single" w:color="1A335C" w:sz="1"/>
              <w:left w:val="single" w:color="1A335C" w:sz="1"/>
              <w:bottom w:val="single" w:color="1A335C" w:sz="1"/>
              <w:right w:val="single" w:color="1A335C" w:sz="1"/>
            </w:tcBorders>
            <w:shd w:fill="FFFFFF" w:val="clear"/>
            <w:tcMar>
              <w:top w:type="dxa" w:w="80"/>
              <w:left w:type="dxa" w:w="120"/>
              <w:bottom w:type="dxa" w:w="80"/>
              <w:right w:type="dxa" w:w="120"/>
            </w:tcMar>
          </w:tcPr>
          <w:p>
            <w:r>
              <w:rPr>
                <w:rFonts w:ascii="Inter" w:cs="Inter" w:eastAsia="Inter" w:hAnsi="Inter"/>
                <w:color w:val="334155"/>
                <w:sz w:val="20"/>
                <w:szCs w:val="20"/>
              </w:rPr>
              <w:t xml:space="preserve">TDD-09</w:t>
            </w:r>
          </w:p>
        </w:tc>
        <w:tc>
          <w:tcPr>
            <w:tcW w:type="dxa" w:w="3400"/>
            <w:tcBorders>
              <w:top w:val="single" w:color="1A335C" w:sz="1"/>
              <w:left w:val="single" w:color="1A335C" w:sz="1"/>
              <w:bottom w:val="single" w:color="1A335C" w:sz="1"/>
              <w:right w:val="single" w:color="1A335C" w:sz="1"/>
            </w:tcBorders>
            <w:shd w:fill="FFFFFF" w:val="clear"/>
            <w:tcMar>
              <w:top w:type="dxa" w:w="80"/>
              <w:left w:type="dxa" w:w="120"/>
              <w:bottom w:type="dxa" w:w="80"/>
              <w:right w:type="dxa" w:w="120"/>
            </w:tcMar>
          </w:tcPr>
          <w:p>
            <w:r>
              <w:rPr>
                <w:rFonts w:ascii="Inter" w:cs="Inter" w:eastAsia="Inter" w:hAnsi="Inter"/>
                <w:color w:val="334155"/>
                <w:sz w:val="20"/>
                <w:szCs w:val="20"/>
              </w:rPr>
              <w:t xml:space="preserve">Plan de Migraciones DDL</w:t>
            </w:r>
          </w:p>
        </w:tc>
        <w:tc>
          <w:tcPr>
            <w:tcW w:type="dxa" w:w="1500"/>
            <w:tcBorders>
              <w:top w:val="single" w:color="1A335C" w:sz="1"/>
              <w:left w:val="single" w:color="1A335C" w:sz="1"/>
              <w:bottom w:val="single" w:color="1A335C" w:sz="1"/>
              <w:right w:val="single" w:color="1A335C" w:sz="1"/>
            </w:tcBorders>
            <w:shd w:fill="FFFFFF" w:val="clear"/>
            <w:tcMar>
              <w:top w:type="dxa" w:w="80"/>
              <w:left w:type="dxa" w:w="120"/>
              <w:bottom w:type="dxa" w:w="80"/>
              <w:right w:type="dxa" w:w="120"/>
            </w:tcMar>
          </w:tcPr>
          <w:p>
            <w:r>
              <w:rPr>
                <w:rFonts w:ascii="Inter" w:cs="Inter" w:eastAsia="Inter" w:hAnsi="Inter"/>
                <w:color w:val="334155"/>
                <w:sz w:val="20"/>
                <w:szCs w:val="20"/>
              </w:rPr>
              <w:t xml:space="preserve">Técnico</w:t>
            </w:r>
          </w:p>
        </w:tc>
        <w:tc>
          <w:tcPr>
            <w:tcW w:type="dxa" w:w="3060"/>
            <w:tcBorders>
              <w:top w:val="single" w:color="1A335C" w:sz="1"/>
              <w:left w:val="single" w:color="1A335C" w:sz="1"/>
              <w:bottom w:val="single" w:color="1A335C" w:sz="1"/>
              <w:right w:val="single" w:color="1A335C" w:sz="1"/>
            </w:tcBorders>
            <w:shd w:fill="FFFFFF" w:val="clear"/>
            <w:tcMar>
              <w:top w:type="dxa" w:w="80"/>
              <w:left w:type="dxa" w:w="120"/>
              <w:bottom w:type="dxa" w:w="80"/>
              <w:right w:type="dxa" w:w="120"/>
            </w:tcMar>
          </w:tcPr>
          <w:p>
            <w:r>
              <w:rPr>
                <w:rFonts w:ascii="Inter" w:cs="Inter" w:eastAsia="Inter" w:hAnsi="Inter"/>
                <w:color w:val="334155"/>
                <w:sz w:val="20"/>
                <w:szCs w:val="20"/>
              </w:rPr>
              <w:t xml:space="preserve">Versionado de schema</w:t>
            </w:r>
          </w:p>
        </w:tc>
      </w:tr>
      <w:tr>
        <w:tc>
          <w:tcPr>
            <w:tcW w:type="dxa" w:w="1400"/>
            <w:tcBorders>
              <w:top w:val="single" w:color="1A335C" w:sz="1"/>
              <w:left w:val="single" w:color="1A335C" w:sz="1"/>
              <w:bottom w:val="single" w:color="1A335C" w:sz="1"/>
              <w:right w:val="single" w:color="1A335C" w:sz="1"/>
            </w:tcBorders>
            <w:shd w:fill="EAF6F4" w:val="clear"/>
            <w:tcMar>
              <w:top w:type="dxa" w:w="80"/>
              <w:left w:type="dxa" w:w="120"/>
              <w:bottom w:type="dxa" w:w="80"/>
              <w:right w:type="dxa" w:w="120"/>
            </w:tcMar>
          </w:tcPr>
          <w:p>
            <w:r>
              <w:rPr>
                <w:rFonts w:ascii="Inter" w:cs="Inter" w:eastAsia="Inter" w:hAnsi="Inter"/>
                <w:color w:val="334155"/>
                <w:sz w:val="20"/>
                <w:szCs w:val="20"/>
              </w:rPr>
              <w:t xml:space="preserve">TDD-10</w:t>
            </w:r>
          </w:p>
        </w:tc>
        <w:tc>
          <w:tcPr>
            <w:tcW w:type="dxa" w:w="3400"/>
            <w:tcBorders>
              <w:top w:val="single" w:color="1A335C" w:sz="1"/>
              <w:left w:val="single" w:color="1A335C" w:sz="1"/>
              <w:bottom w:val="single" w:color="1A335C" w:sz="1"/>
              <w:right w:val="single" w:color="1A335C" w:sz="1"/>
            </w:tcBorders>
            <w:shd w:fill="EAF6F4" w:val="clear"/>
            <w:tcMar>
              <w:top w:type="dxa" w:w="80"/>
              <w:left w:type="dxa" w:w="120"/>
              <w:bottom w:type="dxa" w:w="80"/>
              <w:right w:type="dxa" w:w="120"/>
            </w:tcMar>
          </w:tcPr>
          <w:p>
            <w:r>
              <w:rPr>
                <w:rFonts w:ascii="Inter" w:cs="Inter" w:eastAsia="Inter" w:hAnsi="Inter"/>
                <w:color w:val="334155"/>
                <w:sz w:val="20"/>
                <w:szCs w:val="20"/>
              </w:rPr>
              <w:t xml:space="preserve">Vigencia Extendida y Catálogos</w:t>
            </w:r>
          </w:p>
        </w:tc>
        <w:tc>
          <w:tcPr>
            <w:tcW w:type="dxa" w:w="1500"/>
            <w:tcBorders>
              <w:top w:val="single" w:color="1A335C" w:sz="1"/>
              <w:left w:val="single" w:color="1A335C" w:sz="1"/>
              <w:bottom w:val="single" w:color="1A335C" w:sz="1"/>
              <w:right w:val="single" w:color="1A335C" w:sz="1"/>
            </w:tcBorders>
            <w:shd w:fill="EAF6F4" w:val="clear"/>
            <w:tcMar>
              <w:top w:type="dxa" w:w="80"/>
              <w:left w:type="dxa" w:w="120"/>
              <w:bottom w:type="dxa" w:w="80"/>
              <w:right w:type="dxa" w:w="120"/>
            </w:tcMar>
          </w:tcPr>
          <w:p>
            <w:r>
              <w:rPr>
                <w:rFonts w:ascii="Inter" w:cs="Inter" w:eastAsia="Inter" w:hAnsi="Inter"/>
                <w:color w:val="334155"/>
                <w:sz w:val="20"/>
                <w:szCs w:val="20"/>
              </w:rPr>
              <w:t xml:space="preserve">Técnico</w:t>
            </w:r>
          </w:p>
        </w:tc>
        <w:tc>
          <w:tcPr>
            <w:tcW w:type="dxa" w:w="3060"/>
            <w:tcBorders>
              <w:top w:val="single" w:color="1A335C" w:sz="1"/>
              <w:left w:val="single" w:color="1A335C" w:sz="1"/>
              <w:bottom w:val="single" w:color="1A335C" w:sz="1"/>
              <w:right w:val="single" w:color="1A335C" w:sz="1"/>
            </w:tcBorders>
            <w:shd w:fill="EAF6F4" w:val="clear"/>
            <w:tcMar>
              <w:top w:type="dxa" w:w="80"/>
              <w:left w:type="dxa" w:w="120"/>
              <w:bottom w:type="dxa" w:w="80"/>
              <w:right w:type="dxa" w:w="120"/>
            </w:tcMar>
          </w:tcPr>
          <w:p>
            <w:r>
              <w:rPr>
                <w:rFonts w:ascii="Inter" w:cs="Inter" w:eastAsia="Inter" w:hAnsi="Inter"/>
                <w:color w:val="334155"/>
                <w:sz w:val="20"/>
                <w:szCs w:val="20"/>
              </w:rPr>
              <w:t xml:space="preserve">Modo remoto + gobernanza insumos</w:t>
            </w:r>
          </w:p>
        </w:tc>
      </w:tr>
      <w:tr>
        <w:tc>
          <w:tcPr>
            <w:tcW w:type="dxa" w:w="1400"/>
            <w:tcBorders>
              <w:top w:val="single" w:color="1A335C" w:sz="1"/>
              <w:left w:val="single" w:color="1A335C" w:sz="1"/>
              <w:bottom w:val="single" w:color="1A335C" w:sz="1"/>
              <w:right w:val="single" w:color="1A335C" w:sz="1"/>
            </w:tcBorders>
            <w:shd w:fill="FFFFFF" w:val="clear"/>
            <w:tcMar>
              <w:top w:type="dxa" w:w="80"/>
              <w:left w:type="dxa" w:w="120"/>
              <w:bottom w:type="dxa" w:w="80"/>
              <w:right w:type="dxa" w:w="120"/>
            </w:tcMar>
          </w:tcPr>
          <w:p>
            <w:r>
              <w:rPr>
                <w:rFonts w:ascii="Inter" w:cs="Inter" w:eastAsia="Inter" w:hAnsi="Inter"/>
                <w:color w:val="334155"/>
                <w:sz w:val="20"/>
                <w:szCs w:val="20"/>
              </w:rPr>
              <w:t xml:space="preserve">TDD-11</w:t>
            </w:r>
          </w:p>
        </w:tc>
        <w:tc>
          <w:tcPr>
            <w:tcW w:type="dxa" w:w="3400"/>
            <w:tcBorders>
              <w:top w:val="single" w:color="1A335C" w:sz="1"/>
              <w:left w:val="single" w:color="1A335C" w:sz="1"/>
              <w:bottom w:val="single" w:color="1A335C" w:sz="1"/>
              <w:right w:val="single" w:color="1A335C" w:sz="1"/>
            </w:tcBorders>
            <w:shd w:fill="FFFFFF" w:val="clear"/>
            <w:tcMar>
              <w:top w:type="dxa" w:w="80"/>
              <w:left w:type="dxa" w:w="120"/>
              <w:bottom w:type="dxa" w:w="80"/>
              <w:right w:type="dxa" w:w="120"/>
            </w:tcMar>
          </w:tcPr>
          <w:p>
            <w:r>
              <w:rPr>
                <w:rFonts w:ascii="Inter" w:cs="Inter" w:eastAsia="Inter" w:hAnsi="Inter"/>
                <w:color w:val="334155"/>
                <w:sz w:val="20"/>
                <w:szCs w:val="20"/>
              </w:rPr>
              <w:t xml:space="preserve">Roadmap Maestro</w:t>
            </w:r>
          </w:p>
        </w:tc>
        <w:tc>
          <w:tcPr>
            <w:tcW w:type="dxa" w:w="1500"/>
            <w:tcBorders>
              <w:top w:val="single" w:color="1A335C" w:sz="1"/>
              <w:left w:val="single" w:color="1A335C" w:sz="1"/>
              <w:bottom w:val="single" w:color="1A335C" w:sz="1"/>
              <w:right w:val="single" w:color="1A335C" w:sz="1"/>
            </w:tcBorders>
            <w:shd w:fill="FFFFFF" w:val="clear"/>
            <w:tcMar>
              <w:top w:type="dxa" w:w="80"/>
              <w:left w:type="dxa" w:w="120"/>
              <w:bottom w:type="dxa" w:w="80"/>
              <w:right w:type="dxa" w:w="120"/>
            </w:tcMar>
          </w:tcPr>
          <w:p>
            <w:r>
              <w:rPr>
                <w:rFonts w:ascii="Inter" w:cs="Inter" w:eastAsia="Inter" w:hAnsi="Inter"/>
                <w:color w:val="334155"/>
                <w:sz w:val="20"/>
                <w:szCs w:val="20"/>
              </w:rPr>
              <w:t xml:space="preserve">Plan</w:t>
            </w:r>
          </w:p>
        </w:tc>
        <w:tc>
          <w:tcPr>
            <w:tcW w:type="dxa" w:w="3060"/>
            <w:tcBorders>
              <w:top w:val="single" w:color="1A335C" w:sz="1"/>
              <w:left w:val="single" w:color="1A335C" w:sz="1"/>
              <w:bottom w:val="single" w:color="1A335C" w:sz="1"/>
              <w:right w:val="single" w:color="1A335C" w:sz="1"/>
            </w:tcBorders>
            <w:shd w:fill="FFFFFF" w:val="clear"/>
            <w:tcMar>
              <w:top w:type="dxa" w:w="80"/>
              <w:left w:type="dxa" w:w="120"/>
              <w:bottom w:type="dxa" w:w="80"/>
              <w:right w:type="dxa" w:w="120"/>
            </w:tcMar>
          </w:tcPr>
          <w:p>
            <w:r>
              <w:rPr>
                <w:rFonts w:ascii="Inter" w:cs="Inter" w:eastAsia="Inter" w:hAnsi="Inter"/>
                <w:color w:val="334155"/>
                <w:sz w:val="20"/>
                <w:szCs w:val="20"/>
              </w:rPr>
              <w:t xml:space="preserve">Este documento</w:t>
            </w:r>
          </w:p>
        </w:tc>
      </w:tr>
      <w:tr>
        <w:tc>
          <w:tcPr>
            <w:tcW w:type="dxa" w:w="1400"/>
            <w:tcBorders>
              <w:top w:val="single" w:color="1A335C" w:sz="1"/>
              <w:left w:val="single" w:color="1A335C" w:sz="1"/>
              <w:bottom w:val="single" w:color="1A335C" w:sz="1"/>
              <w:right w:val="single" w:color="1A335C" w:sz="1"/>
            </w:tcBorders>
            <w:shd w:fill="EAF6F4" w:val="clear"/>
            <w:tcMar>
              <w:top w:type="dxa" w:w="80"/>
              <w:left w:type="dxa" w:w="120"/>
              <w:bottom w:type="dxa" w:w="80"/>
              <w:right w:type="dxa" w:w="120"/>
            </w:tcMar>
          </w:tcPr>
          <w:p>
            <w:r>
              <w:rPr>
                <w:rFonts w:ascii="Inter" w:cs="Inter" w:eastAsia="Inter" w:hAnsi="Inter"/>
                <w:color w:val="334155"/>
                <w:sz w:val="20"/>
                <w:szCs w:val="20"/>
              </w:rPr>
              <w:t xml:space="preserve">CU-01 a CU-08</w:t>
            </w:r>
          </w:p>
        </w:tc>
        <w:tc>
          <w:tcPr>
            <w:tcW w:type="dxa" w:w="3400"/>
            <w:tcBorders>
              <w:top w:val="single" w:color="1A335C" w:sz="1"/>
              <w:left w:val="single" w:color="1A335C" w:sz="1"/>
              <w:bottom w:val="single" w:color="1A335C" w:sz="1"/>
              <w:right w:val="single" w:color="1A335C" w:sz="1"/>
            </w:tcBorders>
            <w:shd w:fill="EAF6F4" w:val="clear"/>
            <w:tcMar>
              <w:top w:type="dxa" w:w="80"/>
              <w:left w:type="dxa" w:w="120"/>
              <w:bottom w:type="dxa" w:w="80"/>
              <w:right w:type="dxa" w:w="120"/>
            </w:tcMar>
          </w:tcPr>
          <w:p>
            <w:r>
              <w:rPr>
                <w:rFonts w:ascii="Inter" w:cs="Inter" w:eastAsia="Inter" w:hAnsi="Inter"/>
                <w:color w:val="334155"/>
                <w:sz w:val="20"/>
                <w:szCs w:val="20"/>
              </w:rPr>
              <w:t xml:space="preserve">Casos de Uso del MVP</w:t>
            </w:r>
          </w:p>
        </w:tc>
        <w:tc>
          <w:tcPr>
            <w:tcW w:type="dxa" w:w="1500"/>
            <w:tcBorders>
              <w:top w:val="single" w:color="1A335C" w:sz="1"/>
              <w:left w:val="single" w:color="1A335C" w:sz="1"/>
              <w:bottom w:val="single" w:color="1A335C" w:sz="1"/>
              <w:right w:val="single" w:color="1A335C" w:sz="1"/>
            </w:tcBorders>
            <w:shd w:fill="EAF6F4" w:val="clear"/>
            <w:tcMar>
              <w:top w:type="dxa" w:w="80"/>
              <w:left w:type="dxa" w:w="120"/>
              <w:bottom w:type="dxa" w:w="80"/>
              <w:right w:type="dxa" w:w="120"/>
            </w:tcMar>
          </w:tcPr>
          <w:p>
            <w:r>
              <w:rPr>
                <w:rFonts w:ascii="Inter" w:cs="Inter" w:eastAsia="Inter" w:hAnsi="Inter"/>
                <w:color w:val="334155"/>
                <w:sz w:val="20"/>
                <w:szCs w:val="20"/>
              </w:rPr>
              <w:t xml:space="preserve">Funcional</w:t>
            </w:r>
          </w:p>
        </w:tc>
        <w:tc>
          <w:tcPr>
            <w:tcW w:type="dxa" w:w="3060"/>
            <w:tcBorders>
              <w:top w:val="single" w:color="1A335C" w:sz="1"/>
              <w:left w:val="single" w:color="1A335C" w:sz="1"/>
              <w:bottom w:val="single" w:color="1A335C" w:sz="1"/>
              <w:right w:val="single" w:color="1A335C" w:sz="1"/>
            </w:tcBorders>
            <w:shd w:fill="EAF6F4" w:val="clear"/>
            <w:tcMar>
              <w:top w:type="dxa" w:w="80"/>
              <w:left w:type="dxa" w:w="120"/>
              <w:bottom w:type="dxa" w:w="80"/>
              <w:right w:type="dxa" w:w="120"/>
            </w:tcMar>
          </w:tcPr>
          <w:p>
            <w:r>
              <w:rPr>
                <w:rFonts w:ascii="Inter" w:cs="Inter" w:eastAsia="Inter" w:hAnsi="Inter"/>
                <w:color w:val="334155"/>
                <w:sz w:val="20"/>
                <w:szCs w:val="20"/>
              </w:rPr>
              <w:t xml:space="preserve">8 flujos atómicos</w:t>
            </w:r>
          </w:p>
        </w:tc>
      </w:tr>
    </w:tbl>
    <w:p>
      <w:pPr>
        <w:spacing w:after="120" w:before="120"/>
      </w:pPr>
      <w:r>
        <w:t xml:space="preserve"/>
      </w:r>
    </w:p>
    <w:p>
      <w:pPr>
        <w:pStyle w:val="Heading1"/>
        <w:pBdr>
          <w:bottom w:val="single" w:color="45C4B0" w:sz="8" w:space="4"/>
        </w:pBdr>
        <w:spacing w:after="160" w:before="360"/>
      </w:pPr>
      <w:r>
        <w:rPr>
          <w:rFonts w:ascii="Montserrat" w:cs="Montserrat" w:eastAsia="Montserrat" w:hAnsi="Montserrat"/>
          <w:b/>
          <w:bCs/>
          <w:color w:val="1A335C"/>
          <w:sz w:val="32"/>
          <w:szCs w:val="32"/>
        </w:rPr>
        <w:t xml:space="preserve">3. Plan de Sprints</w:t>
      </w:r>
    </w:p>
    <w:p>
      <w:pPr>
        <w:spacing w:after="80" w:before="60"/>
      </w:pPr>
      <w:r>
        <w:rPr>
          <w:rFonts w:ascii="Inter" w:cs="Inter" w:eastAsia="Inter" w:hAnsi="Inter"/>
          <w:color w:val="334155"/>
          <w:sz w:val="22"/>
          <w:szCs w:val="22"/>
        </w:rPr>
        <w:t xml:space="preserve">Se proyectan 6 sprints de 2 semanas cada uno (12 semanas / 3 meses) hasta el MVP funcional con compliance regulatorio. Después de Sprint 6 inicia el período de pruebas piloto en granjas reales.</w:t>
      </w:r>
    </w:p>
    <w:p>
      <w:pPr>
        <w:spacing w:after="120" w:before="120"/>
      </w:pPr>
      <w:r>
        <w:t xml:space="preserve"/>
      </w:r>
    </w:p>
    <w:p>
      <w:pPr>
        <w:pStyle w:val="Heading2"/>
        <w:spacing w:after="120" w:before="280"/>
      </w:pPr>
      <w:r>
        <w:rPr>
          <w:rFonts w:ascii="Montserrat" w:cs="Montserrat" w:eastAsia="Montserrat" w:hAnsi="Montserrat"/>
          <w:b/>
          <w:bCs/>
          <w:color w:val="1A335C"/>
          <w:sz w:val="26"/>
          <w:szCs w:val="26"/>
        </w:rPr>
        <w:t xml:space="preserve">Sprint 0 — Fundamentos (Semanas 1-2)</w:t>
      </w:r>
    </w:p>
    <w:p>
      <w:pPr>
        <w:pStyle w:val="Heading3"/>
        <w:spacing w:after="80" w:before="200"/>
      </w:pPr>
      <w:r>
        <w:rPr>
          <w:rFonts w:ascii="Montserrat" w:cs="Montserrat" w:eastAsia="Montserrat" w:hAnsi="Montserrat"/>
          <w:b/>
          <w:bCs/>
          <w:color w:val="C29B57"/>
          <w:sz w:val="22"/>
          <w:szCs w:val="22"/>
        </w:rPr>
        <w:t xml:space="preserve">Objetivo</w:t>
      </w:r>
    </w:p>
    <w:p>
      <w:pPr>
        <w:spacing w:after="80" w:before="60"/>
      </w:pPr>
      <w:r>
        <w:rPr>
          <w:rFonts w:ascii="Inter" w:cs="Inter" w:eastAsia="Inter" w:hAnsi="Inter"/>
          <w:color w:val="334155"/>
          <w:sz w:val="22"/>
          <w:szCs w:val="22"/>
        </w:rPr>
        <w:t xml:space="preserve">Establecer la infraestructura técnica y la base de datos versionada antes de cualquier desarrollo de funcionalidad.</w:t>
      </w:r>
    </w:p>
    <w:p>
      <w:pPr>
        <w:pStyle w:val="Heading3"/>
        <w:spacing w:after="80" w:before="200"/>
      </w:pPr>
      <w:r>
        <w:rPr>
          <w:rFonts w:ascii="Montserrat" w:cs="Montserrat" w:eastAsia="Montserrat" w:hAnsi="Montserrat"/>
          <w:b/>
          <w:bCs/>
          <w:color w:val="C29B57"/>
          <w:sz w:val="22"/>
          <w:szCs w:val="22"/>
        </w:rPr>
        <w:t xml:space="preserve">Entregables</w:t>
      </w:r>
    </w:p>
    <w:p>
      <w:pPr>
        <w:pStyle w:val="ListParagraph"/>
        <w:numPr>
          <w:ilvl w:val="0"/>
          <w:numId w:val="2"/>
        </w:numPr>
        <w:spacing w:after="40" w:before="40"/>
      </w:pPr>
      <w:r>
        <w:rPr>
          <w:rFonts w:ascii="Inter" w:cs="Inter" w:eastAsia="Inter" w:hAnsi="Inter"/>
          <w:b w:val="false"/>
          <w:bCs w:val="false"/>
          <w:color w:val="334155"/>
          <w:sz w:val="22"/>
          <w:szCs w:val="22"/>
        </w:rPr>
        <w:t xml:space="preserve">Monorepo configurado: apps/mobile-app, services/api-python, packages/shared.</w:t>
      </w:r>
    </w:p>
    <w:p>
      <w:pPr>
        <w:pStyle w:val="ListParagraph"/>
        <w:numPr>
          <w:ilvl w:val="0"/>
          <w:numId w:val="2"/>
        </w:numPr>
        <w:spacing w:after="40" w:before="40"/>
      </w:pPr>
      <w:r>
        <w:rPr>
          <w:rFonts w:ascii="Inter" w:cs="Inter" w:eastAsia="Inter" w:hAnsi="Inter"/>
          <w:b w:val="false"/>
          <w:bCs w:val="false"/>
          <w:color w:val="334155"/>
          <w:sz w:val="22"/>
          <w:szCs w:val="22"/>
        </w:rPr>
        <w:t xml:space="preserve">CI/CD pipeline en GitHub Actions con jobs separados por servicio.</w:t>
      </w:r>
    </w:p>
    <w:p>
      <w:pPr>
        <w:pStyle w:val="ListParagraph"/>
        <w:numPr>
          <w:ilvl w:val="0"/>
          <w:numId w:val="2"/>
        </w:numPr>
        <w:spacing w:after="40" w:before="40"/>
      </w:pPr>
      <w:r>
        <w:rPr>
          <w:rFonts w:ascii="Inter" w:cs="Inter" w:eastAsia="Inter" w:hAnsi="Inter"/>
          <w:b w:val="false"/>
          <w:bCs w:val="false"/>
          <w:color w:val="334155"/>
          <w:sz w:val="22"/>
          <w:szCs w:val="22"/>
        </w:rPr>
        <w:t xml:space="preserve">Ambientes dev, staging y prod-clone provisionados en infraestructura cloud.</w:t>
      </w:r>
    </w:p>
    <w:p>
      <w:pPr>
        <w:pStyle w:val="ListParagraph"/>
        <w:numPr>
          <w:ilvl w:val="0"/>
          <w:numId w:val="2"/>
        </w:numPr>
        <w:spacing w:after="40" w:before="40"/>
      </w:pPr>
      <w:r>
        <w:rPr>
          <w:rFonts w:ascii="Inter" w:cs="Inter" w:eastAsia="Inter" w:hAnsi="Inter"/>
          <w:b w:val="false"/>
          <w:bCs w:val="false"/>
          <w:color w:val="334155"/>
          <w:sz w:val="22"/>
          <w:szCs w:val="22"/>
        </w:rPr>
        <w:t xml:space="preserve">Flyway integrado y migraciones V001 a V008 ejecutadas en los 3 ambientes (TDD-09).</w:t>
      </w:r>
    </w:p>
    <w:p>
      <w:pPr>
        <w:pStyle w:val="ListParagraph"/>
        <w:numPr>
          <w:ilvl w:val="0"/>
          <w:numId w:val="2"/>
        </w:numPr>
        <w:spacing w:after="40" w:before="40"/>
      </w:pPr>
      <w:r>
        <w:rPr>
          <w:rFonts w:ascii="Inter" w:cs="Inter" w:eastAsia="Inter" w:hAnsi="Inter"/>
          <w:b w:val="false"/>
          <w:bCs w:val="false"/>
          <w:color w:val="334155"/>
          <w:sz w:val="22"/>
          <w:szCs w:val="22"/>
        </w:rPr>
        <w:t xml:space="preserve">Seeds de desarrollo (V009) con tenant demo, 2 fincas, 5 estanques, 3 lotes.</w:t>
      </w:r>
    </w:p>
    <w:p>
      <w:pPr>
        <w:pStyle w:val="ListParagraph"/>
        <w:numPr>
          <w:ilvl w:val="0"/>
          <w:numId w:val="2"/>
        </w:numPr>
        <w:spacing w:after="40" w:before="40"/>
      </w:pPr>
      <w:r>
        <w:rPr>
          <w:rFonts w:ascii="Inter" w:cs="Inter" w:eastAsia="Inter" w:hAnsi="Inter"/>
          <w:b w:val="false"/>
          <w:bCs w:val="false"/>
          <w:color w:val="334155"/>
          <w:sz w:val="22"/>
          <w:szCs w:val="22"/>
        </w:rPr>
        <w:t xml:space="preserve">Repositorio de Postman/Bruno con colección de endpoints documentada.</w:t>
      </w:r>
    </w:p>
    <w:p>
      <w:pPr>
        <w:pStyle w:val="Heading3"/>
        <w:spacing w:after="80" w:before="200"/>
      </w:pPr>
      <w:r>
        <w:rPr>
          <w:rFonts w:ascii="Montserrat" w:cs="Montserrat" w:eastAsia="Montserrat" w:hAnsi="Montserrat"/>
          <w:b/>
          <w:bCs/>
          <w:color w:val="C29B57"/>
          <w:sz w:val="22"/>
          <w:szCs w:val="22"/>
        </w:rPr>
        <w:t xml:space="preserve">Definition of Done</w:t>
      </w:r>
    </w:p>
    <w:p>
      <w:pPr>
        <w:pStyle w:val="ListParagraph"/>
        <w:numPr>
          <w:ilvl w:val="0"/>
          <w:numId w:val="2"/>
        </w:numPr>
        <w:spacing w:after="40" w:before="40"/>
      </w:pPr>
      <w:r>
        <w:rPr>
          <w:rFonts w:ascii="Inter" w:cs="Inter" w:eastAsia="Inter" w:hAnsi="Inter"/>
          <w:b/>
          <w:bCs/>
          <w:color w:val="334155"/>
          <w:sz w:val="22"/>
          <w:szCs w:val="22"/>
        </w:rPr>
        <w:t xml:space="preserve">Cualquier ingeniero puede levantar el ambiente local con un comando: make setup.</w:t>
      </w:r>
    </w:p>
    <w:p>
      <w:pPr>
        <w:pStyle w:val="ListParagraph"/>
        <w:numPr>
          <w:ilvl w:val="0"/>
          <w:numId w:val="2"/>
        </w:numPr>
        <w:spacing w:after="40" w:before="40"/>
      </w:pPr>
      <w:r>
        <w:rPr>
          <w:rFonts w:ascii="Inter" w:cs="Inter" w:eastAsia="Inter" w:hAnsi="Inter"/>
          <w:b/>
          <w:bCs/>
          <w:color w:val="334155"/>
          <w:sz w:val="22"/>
          <w:szCs w:val="22"/>
        </w:rPr>
        <w:t xml:space="preserve">pg_dump --schema-only es idéntico en los 3 ambientes.</w:t>
      </w:r>
    </w:p>
    <w:p>
      <w:pPr>
        <w:spacing w:after="120" w:before="120"/>
      </w:pPr>
      <w:r>
        <w:t xml:space="preserve"/>
      </w:r>
    </w:p>
    <w:p>
      <w:pPr>
        <w:pStyle w:val="Heading2"/>
        <w:spacing w:after="120" w:before="280"/>
      </w:pPr>
      <w:r>
        <w:rPr>
          <w:rFonts w:ascii="Montserrat" w:cs="Montserrat" w:eastAsia="Montserrat" w:hAnsi="Montserrat"/>
          <w:b/>
          <w:bCs/>
          <w:color w:val="1A335C"/>
          <w:sz w:val="26"/>
          <w:szCs w:val="26"/>
        </w:rPr>
        <w:t xml:space="preserve">Sprint 1 — Autenticación y Snapshot (Semanas 3-4)</w:t>
      </w:r>
    </w:p>
    <w:p>
      <w:pPr>
        <w:pStyle w:val="Heading3"/>
        <w:spacing w:after="80" w:before="200"/>
      </w:pPr>
      <w:r>
        <w:rPr>
          <w:rFonts w:ascii="Montserrat" w:cs="Montserrat" w:eastAsia="Montserrat" w:hAnsi="Montserrat"/>
          <w:b/>
          <w:bCs/>
          <w:color w:val="C29B57"/>
          <w:sz w:val="22"/>
          <w:szCs w:val="22"/>
        </w:rPr>
        <w:t xml:space="preserve">Objetivo</w:t>
      </w:r>
    </w:p>
    <w:p>
      <w:pPr>
        <w:spacing w:after="80" w:before="60"/>
      </w:pPr>
      <w:r>
        <w:rPr>
          <w:rFonts w:ascii="Inter" w:cs="Inter" w:eastAsia="Inter" w:hAnsi="Inter"/>
          <w:color w:val="334155"/>
          <w:sz w:val="22"/>
          <w:szCs w:val="22"/>
        </w:rPr>
        <w:t xml:space="preserve">Habilitar el flujo de autenticación completo y la descarga del Snapshot inicial al dispositivo.</w:t>
      </w:r>
    </w:p>
    <w:p>
      <w:pPr>
        <w:pStyle w:val="Heading3"/>
        <w:spacing w:after="80" w:before="200"/>
      </w:pPr>
      <w:r>
        <w:rPr>
          <w:rFonts w:ascii="Montserrat" w:cs="Montserrat" w:eastAsia="Montserrat" w:hAnsi="Montserrat"/>
          <w:b/>
          <w:bCs/>
          <w:color w:val="C29B57"/>
          <w:sz w:val="22"/>
          <w:szCs w:val="22"/>
        </w:rPr>
        <w:t xml:space="preserve">Documentos de referencia</w:t>
      </w:r>
    </w:p>
    <w:p>
      <w:pPr>
        <w:pStyle w:val="ListParagraph"/>
        <w:numPr>
          <w:ilvl w:val="0"/>
          <w:numId w:val="2"/>
        </w:numPr>
        <w:spacing w:after="40" w:before="40"/>
      </w:pPr>
      <w:r>
        <w:rPr>
          <w:rFonts w:ascii="Inter" w:cs="Inter" w:eastAsia="Inter" w:hAnsi="Inter"/>
          <w:b w:val="false"/>
          <w:bCs w:val="false"/>
          <w:color w:val="334155"/>
          <w:sz w:val="22"/>
          <w:szCs w:val="22"/>
        </w:rPr>
        <w:t xml:space="preserve">CU-AQUA-01 (Autenticación y Snapshot)</w:t>
      </w:r>
    </w:p>
    <w:p>
      <w:pPr>
        <w:pStyle w:val="ListParagraph"/>
        <w:numPr>
          <w:ilvl w:val="0"/>
          <w:numId w:val="2"/>
        </w:numPr>
        <w:spacing w:after="40" w:before="40"/>
      </w:pPr>
      <w:r>
        <w:rPr>
          <w:rFonts w:ascii="Inter" w:cs="Inter" w:eastAsia="Inter" w:hAnsi="Inter"/>
          <w:b w:val="false"/>
          <w:bCs w:val="false"/>
          <w:color w:val="334155"/>
          <w:sz w:val="22"/>
          <w:szCs w:val="22"/>
        </w:rPr>
        <w:t xml:space="preserve">TDD-04 (campos del Snapshot)</w:t>
      </w:r>
    </w:p>
    <w:p>
      <w:pPr>
        <w:pStyle w:val="ListParagraph"/>
        <w:numPr>
          <w:ilvl w:val="0"/>
          <w:numId w:val="2"/>
        </w:numPr>
        <w:spacing w:after="40" w:before="40"/>
      </w:pPr>
      <w:r>
        <w:rPr>
          <w:rFonts w:ascii="Inter" w:cs="Inter" w:eastAsia="Inter" w:hAnsi="Inter"/>
          <w:b w:val="false"/>
          <w:bCs w:val="false"/>
          <w:color w:val="334155"/>
          <w:sz w:val="22"/>
          <w:szCs w:val="22"/>
        </w:rPr>
        <w:t xml:space="preserve">TDD-07 Parte A (esquema JWT dual)</w:t>
      </w:r>
    </w:p>
    <w:p>
      <w:pPr>
        <w:pStyle w:val="ListParagraph"/>
        <w:numPr>
          <w:ilvl w:val="0"/>
          <w:numId w:val="2"/>
        </w:numPr>
        <w:spacing w:after="40" w:before="40"/>
      </w:pPr>
      <w:r>
        <w:rPr>
          <w:rFonts w:ascii="Inter" w:cs="Inter" w:eastAsia="Inter" w:hAnsi="Inter"/>
          <w:b w:val="false"/>
          <w:bCs w:val="false"/>
          <w:color w:val="334155"/>
          <w:sz w:val="22"/>
          <w:szCs w:val="22"/>
        </w:rPr>
        <w:t xml:space="preserve">TDD-08 (device_id)</w:t>
      </w:r>
    </w:p>
    <w:p>
      <w:pPr>
        <w:pStyle w:val="Heading3"/>
        <w:spacing w:after="80" w:before="200"/>
      </w:pPr>
      <w:r>
        <w:rPr>
          <w:rFonts w:ascii="Montserrat" w:cs="Montserrat" w:eastAsia="Montserrat" w:hAnsi="Montserrat"/>
          <w:b/>
          <w:bCs/>
          <w:color w:val="C29B57"/>
          <w:sz w:val="22"/>
          <w:szCs w:val="22"/>
        </w:rPr>
        <w:t xml:space="preserve">Entregables Backend</w:t>
      </w:r>
    </w:p>
    <w:p>
      <w:pPr>
        <w:pStyle w:val="ListParagraph"/>
        <w:numPr>
          <w:ilvl w:val="0"/>
          <w:numId w:val="2"/>
        </w:numPr>
        <w:spacing w:after="40" w:before="40"/>
      </w:pPr>
      <w:r>
        <w:rPr>
          <w:rFonts w:ascii="Inter" w:cs="Inter" w:eastAsia="Inter" w:hAnsi="Inter"/>
          <w:b w:val="false"/>
          <w:bCs w:val="false"/>
          <w:color w:val="334155"/>
          <w:sz w:val="22"/>
          <w:szCs w:val="22"/>
        </w:rPr>
        <w:t xml:space="preserve">Endpoint POST /api/v1/auth/login con device_id obligatorio.</w:t>
      </w:r>
    </w:p>
    <w:p>
      <w:pPr>
        <w:pStyle w:val="ListParagraph"/>
        <w:numPr>
          <w:ilvl w:val="0"/>
          <w:numId w:val="2"/>
        </w:numPr>
        <w:spacing w:after="40" w:before="40"/>
      </w:pPr>
      <w:r>
        <w:rPr>
          <w:rFonts w:ascii="Inter" w:cs="Inter" w:eastAsia="Inter" w:hAnsi="Inter"/>
          <w:b w:val="false"/>
          <w:bCs w:val="false"/>
          <w:color w:val="334155"/>
          <w:sz w:val="22"/>
          <w:szCs w:val="22"/>
        </w:rPr>
        <w:t xml:space="preserve">Endpoint POST /api/v1/auth/refresh para silent refresh.</w:t>
      </w:r>
    </w:p>
    <w:p>
      <w:pPr>
        <w:pStyle w:val="ListParagraph"/>
        <w:numPr>
          <w:ilvl w:val="0"/>
          <w:numId w:val="2"/>
        </w:numPr>
        <w:spacing w:after="40" w:before="40"/>
      </w:pPr>
      <w:r>
        <w:rPr>
          <w:rFonts w:ascii="Inter" w:cs="Inter" w:eastAsia="Inter" w:hAnsi="Inter"/>
          <w:b w:val="false"/>
          <w:bCs w:val="false"/>
          <w:color w:val="334155"/>
          <w:sz w:val="22"/>
          <w:szCs w:val="22"/>
        </w:rPr>
        <w:t xml:space="preserve">Endpoint GET /api/v1/sync/snapshot retornando lotes con campos biométricos completos.</w:t>
      </w:r>
    </w:p>
    <w:p>
      <w:pPr>
        <w:pStyle w:val="ListParagraph"/>
        <w:numPr>
          <w:ilvl w:val="0"/>
          <w:numId w:val="2"/>
        </w:numPr>
        <w:spacing w:after="40" w:before="40"/>
      </w:pPr>
      <w:r>
        <w:rPr>
          <w:rFonts w:ascii="Inter" w:cs="Inter" w:eastAsia="Inter" w:hAnsi="Inter"/>
          <w:b w:val="false"/>
          <w:bCs w:val="false"/>
          <w:color w:val="334155"/>
          <w:sz w:val="22"/>
          <w:szCs w:val="22"/>
        </w:rPr>
        <w:t xml:space="preserve">Tabla dispositivo poblada en login.</w:t>
      </w:r>
    </w:p>
    <w:p>
      <w:pPr>
        <w:pStyle w:val="Heading3"/>
        <w:spacing w:after="80" w:before="200"/>
      </w:pPr>
      <w:r>
        <w:rPr>
          <w:rFonts w:ascii="Montserrat" w:cs="Montserrat" w:eastAsia="Montserrat" w:hAnsi="Montserrat"/>
          <w:b/>
          <w:bCs/>
          <w:color w:val="C29B57"/>
          <w:sz w:val="22"/>
          <w:szCs w:val="22"/>
        </w:rPr>
        <w:t xml:space="preserve">Entregables Mobile</w:t>
      </w:r>
    </w:p>
    <w:p>
      <w:pPr>
        <w:pStyle w:val="ListParagraph"/>
        <w:numPr>
          <w:ilvl w:val="0"/>
          <w:numId w:val="2"/>
        </w:numPr>
        <w:spacing w:after="40" w:before="40"/>
      </w:pPr>
      <w:r>
        <w:rPr>
          <w:rFonts w:ascii="Inter" w:cs="Inter" w:eastAsia="Inter" w:hAnsi="Inter"/>
          <w:b w:val="false"/>
          <w:bCs w:val="false"/>
          <w:color w:val="334155"/>
          <w:sz w:val="22"/>
          <w:szCs w:val="22"/>
        </w:rPr>
        <w:t xml:space="preserve">Pantalla de login con captura y validación.</w:t>
      </w:r>
    </w:p>
    <w:p>
      <w:pPr>
        <w:pStyle w:val="ListParagraph"/>
        <w:numPr>
          <w:ilvl w:val="0"/>
          <w:numId w:val="2"/>
        </w:numPr>
        <w:spacing w:after="40" w:before="40"/>
      </w:pPr>
      <w:r>
        <w:rPr>
          <w:rFonts w:ascii="Inter" w:cs="Inter" w:eastAsia="Inter" w:hAnsi="Inter"/>
          <w:b w:val="false"/>
          <w:bCs w:val="false"/>
          <w:color w:val="334155"/>
          <w:sz w:val="22"/>
          <w:szCs w:val="22"/>
        </w:rPr>
        <w:t xml:space="preserve">Servicio deviceService.ts con generación de device_id en primer arranque.</w:t>
      </w:r>
    </w:p>
    <w:p>
      <w:pPr>
        <w:pStyle w:val="ListParagraph"/>
        <w:numPr>
          <w:ilvl w:val="0"/>
          <w:numId w:val="2"/>
        </w:numPr>
        <w:spacing w:after="40" w:before="40"/>
      </w:pPr>
      <w:r>
        <w:rPr>
          <w:rFonts w:ascii="Inter" w:cs="Inter" w:eastAsia="Inter" w:hAnsi="Inter"/>
          <w:b w:val="false"/>
          <w:bCs w:val="false"/>
          <w:color w:val="334155"/>
          <w:sz w:val="22"/>
          <w:szCs w:val="22"/>
        </w:rPr>
        <w:t xml:space="preserve">Servicio tokenManager.ts con silent refresh y manejo de expiración.</w:t>
      </w:r>
    </w:p>
    <w:p>
      <w:pPr>
        <w:pStyle w:val="ListParagraph"/>
        <w:numPr>
          <w:ilvl w:val="0"/>
          <w:numId w:val="2"/>
        </w:numPr>
        <w:spacing w:after="40" w:before="40"/>
      </w:pPr>
      <w:r>
        <w:rPr>
          <w:rFonts w:ascii="Inter" w:cs="Inter" w:eastAsia="Inter" w:hAnsi="Inter"/>
          <w:b w:val="false"/>
          <w:bCs w:val="false"/>
          <w:color w:val="334155"/>
          <w:sz w:val="22"/>
          <w:szCs w:val="22"/>
        </w:rPr>
        <w:t xml:space="preserve">Persistencia del Snapshot en SQLite local.</w:t>
      </w:r>
    </w:p>
    <w:p>
      <w:pPr>
        <w:pStyle w:val="Heading3"/>
        <w:spacing w:after="80" w:before="200"/>
      </w:pPr>
      <w:r>
        <w:rPr>
          <w:rFonts w:ascii="Montserrat" w:cs="Montserrat" w:eastAsia="Montserrat" w:hAnsi="Montserrat"/>
          <w:b/>
          <w:bCs/>
          <w:color w:val="C29B57"/>
          <w:sz w:val="22"/>
          <w:szCs w:val="22"/>
        </w:rPr>
        <w:t xml:space="preserve">Definition of Done</w:t>
      </w:r>
    </w:p>
    <w:p>
      <w:pPr>
        <w:pStyle w:val="ListParagraph"/>
        <w:numPr>
          <w:ilvl w:val="0"/>
          <w:numId w:val="2"/>
        </w:numPr>
        <w:spacing w:after="40" w:before="40"/>
      </w:pPr>
      <w:r>
        <w:rPr>
          <w:rFonts w:ascii="Inter" w:cs="Inter" w:eastAsia="Inter" w:hAnsi="Inter"/>
          <w:b w:val="false"/>
          <w:bCs w:val="false"/>
          <w:color w:val="334155"/>
          <w:sz w:val="22"/>
          <w:szCs w:val="22"/>
        </w:rPr>
        <w:t xml:space="preserve">Operario puede autenticarse offline si tiene refresh token vigente y snapshot no expirado.</w:t>
      </w:r>
    </w:p>
    <w:p>
      <w:pPr>
        <w:pStyle w:val="ListParagraph"/>
        <w:numPr>
          <w:ilvl w:val="0"/>
          <w:numId w:val="2"/>
        </w:numPr>
        <w:spacing w:after="40" w:before="40"/>
      </w:pPr>
      <w:r>
        <w:rPr>
          <w:rFonts w:ascii="Inter" w:cs="Inter" w:eastAsia="Inter" w:hAnsi="Inter"/>
          <w:b w:val="false"/>
          <w:bCs w:val="false"/>
          <w:color w:val="334155"/>
          <w:sz w:val="22"/>
          <w:szCs w:val="22"/>
        </w:rPr>
        <w:t xml:space="preserve">El device_id sobrevive a 5 ciclos de cierre/apertura de app.</w:t>
      </w:r>
    </w:p>
    <w:p>
      <w:pPr>
        <w:spacing w:after="120" w:before="120"/>
      </w:pPr>
      <w:r>
        <w:t xml:space="preserve"/>
      </w:r>
    </w:p>
    <w:p>
      <w:pPr>
        <w:pStyle w:val="Heading2"/>
        <w:spacing w:after="120" w:before="280"/>
      </w:pPr>
      <w:r>
        <w:rPr>
          <w:rFonts w:ascii="Montserrat" w:cs="Montserrat" w:eastAsia="Montserrat" w:hAnsi="Montserrat"/>
          <w:b/>
          <w:bCs/>
          <w:color w:val="1A335C"/>
          <w:sz w:val="26"/>
          <w:szCs w:val="26"/>
        </w:rPr>
        <w:t xml:space="preserve">Sprint 2 — Calidad de Agua y CTQ (Semanas 5-6)</w:t>
      </w:r>
    </w:p>
    <w:p>
      <w:pPr>
        <w:pStyle w:val="Heading3"/>
        <w:spacing w:after="80" w:before="200"/>
      </w:pPr>
      <w:r>
        <w:rPr>
          <w:rFonts w:ascii="Montserrat" w:cs="Montserrat" w:eastAsia="Montserrat" w:hAnsi="Montserrat"/>
          <w:b/>
          <w:bCs/>
          <w:color w:val="C29B57"/>
          <w:sz w:val="22"/>
          <w:szCs w:val="22"/>
        </w:rPr>
        <w:t xml:space="preserve">Objetivo</w:t>
      </w:r>
    </w:p>
    <w:p>
      <w:pPr>
        <w:spacing w:after="80" w:before="60"/>
      </w:pPr>
      <w:r>
        <w:rPr>
          <w:rFonts w:ascii="Inter" w:cs="Inter" w:eastAsia="Inter" w:hAnsi="Inter"/>
          <w:color w:val="334155"/>
          <w:sz w:val="22"/>
          <w:szCs w:val="22"/>
        </w:rPr>
        <w:t xml:space="preserve">Habilitar el primer flujo transaccional del operario en campo: registro de calidad de agua con alertas semafóricas.</w:t>
      </w:r>
    </w:p>
    <w:p>
      <w:pPr>
        <w:pStyle w:val="Heading3"/>
        <w:spacing w:after="80" w:before="200"/>
      </w:pPr>
      <w:r>
        <w:rPr>
          <w:rFonts w:ascii="Montserrat" w:cs="Montserrat" w:eastAsia="Montserrat" w:hAnsi="Montserrat"/>
          <w:b/>
          <w:bCs/>
          <w:color w:val="C29B57"/>
          <w:sz w:val="22"/>
          <w:szCs w:val="22"/>
        </w:rPr>
        <w:t xml:space="preserve">Documentos de referencia</w:t>
      </w:r>
    </w:p>
    <w:p>
      <w:pPr>
        <w:pStyle w:val="ListParagraph"/>
        <w:numPr>
          <w:ilvl w:val="0"/>
          <w:numId w:val="2"/>
        </w:numPr>
        <w:spacing w:after="40" w:before="40"/>
      </w:pPr>
      <w:r>
        <w:rPr>
          <w:rFonts w:ascii="Inter" w:cs="Inter" w:eastAsia="Inter" w:hAnsi="Inter"/>
          <w:b w:val="false"/>
          <w:bCs w:val="false"/>
          <w:color w:val="334155"/>
          <w:sz w:val="22"/>
          <w:szCs w:val="22"/>
        </w:rPr>
        <w:t xml:space="preserve">CU-AQUA-02 (Escaneo QR de estanque)</w:t>
      </w:r>
    </w:p>
    <w:p>
      <w:pPr>
        <w:pStyle w:val="ListParagraph"/>
        <w:numPr>
          <w:ilvl w:val="0"/>
          <w:numId w:val="2"/>
        </w:numPr>
        <w:spacing w:after="40" w:before="40"/>
      </w:pPr>
      <w:r>
        <w:rPr>
          <w:rFonts w:ascii="Inter" w:cs="Inter" w:eastAsia="Inter" w:hAnsi="Inter"/>
          <w:b w:val="false"/>
          <w:bCs w:val="false"/>
          <w:color w:val="334155"/>
          <w:sz w:val="22"/>
          <w:szCs w:val="22"/>
        </w:rPr>
        <w:t xml:space="preserve">CU-AQUA-03 (Registro de calidad de agua)</w:t>
      </w:r>
    </w:p>
    <w:p>
      <w:pPr>
        <w:pStyle w:val="ListParagraph"/>
        <w:numPr>
          <w:ilvl w:val="0"/>
          <w:numId w:val="2"/>
        </w:numPr>
        <w:spacing w:after="40" w:before="40"/>
      </w:pPr>
      <w:r>
        <w:rPr>
          <w:rFonts w:ascii="Inter" w:cs="Inter" w:eastAsia="Inter" w:hAnsi="Inter"/>
          <w:b w:val="false"/>
          <w:bCs w:val="false"/>
          <w:color w:val="334155"/>
          <w:sz w:val="22"/>
          <w:szCs w:val="22"/>
        </w:rPr>
        <w:t xml:space="preserve">TDD-06 (CTQ ampliados con TAN, NO2, alcalinidad)</w:t>
      </w:r>
    </w:p>
    <w:p>
      <w:pPr>
        <w:pStyle w:val="Heading3"/>
        <w:spacing w:after="80" w:before="200"/>
      </w:pPr>
      <w:r>
        <w:rPr>
          <w:rFonts w:ascii="Montserrat" w:cs="Montserrat" w:eastAsia="Montserrat" w:hAnsi="Montserrat"/>
          <w:b/>
          <w:bCs/>
          <w:color w:val="C29B57"/>
          <w:sz w:val="22"/>
          <w:szCs w:val="22"/>
        </w:rPr>
        <w:t xml:space="preserve">Entregables</w:t>
      </w:r>
    </w:p>
    <w:p>
      <w:pPr>
        <w:pStyle w:val="ListParagraph"/>
        <w:numPr>
          <w:ilvl w:val="0"/>
          <w:numId w:val="2"/>
        </w:numPr>
        <w:spacing w:after="40" w:before="40"/>
      </w:pPr>
      <w:r>
        <w:rPr>
          <w:rFonts w:ascii="Inter" w:cs="Inter" w:eastAsia="Inter" w:hAnsi="Inter"/>
          <w:b w:val="false"/>
          <w:bCs w:val="false"/>
          <w:color w:val="334155"/>
          <w:sz w:val="22"/>
          <w:szCs w:val="22"/>
        </w:rPr>
        <w:t xml:space="preserve">Lector QR funcional con resolución de id_estanque desde Snapshot local.</w:t>
      </w:r>
    </w:p>
    <w:p>
      <w:pPr>
        <w:pStyle w:val="ListParagraph"/>
        <w:numPr>
          <w:ilvl w:val="0"/>
          <w:numId w:val="2"/>
        </w:numPr>
        <w:spacing w:after="40" w:before="40"/>
      </w:pPr>
      <w:r>
        <w:rPr>
          <w:rFonts w:ascii="Inter" w:cs="Inter" w:eastAsia="Inter" w:hAnsi="Inter"/>
          <w:b w:val="false"/>
          <w:bCs w:val="false"/>
          <w:color w:val="334155"/>
          <w:sz w:val="22"/>
          <w:szCs w:val="22"/>
        </w:rPr>
        <w:t xml:space="preserve">Formulario de calidad de agua con los 8 parámetros (OD, Temp, pH, TAN, NO2, alcalinidad, Secchi, salinidad).</w:t>
      </w:r>
    </w:p>
    <w:p>
      <w:pPr>
        <w:pStyle w:val="ListParagraph"/>
        <w:numPr>
          <w:ilvl w:val="0"/>
          <w:numId w:val="2"/>
        </w:numPr>
        <w:spacing w:after="40" w:before="40"/>
      </w:pPr>
      <w:r>
        <w:rPr>
          <w:rFonts w:ascii="Inter" w:cs="Inter" w:eastAsia="Inter" w:hAnsi="Inter"/>
          <w:b w:val="false"/>
          <w:bCs w:val="false"/>
          <w:color w:val="334155"/>
          <w:sz w:val="22"/>
          <w:szCs w:val="22"/>
        </w:rPr>
        <w:t xml:space="preserve">Motor de validación waterQualityRepository.ts con Hard Limits y alertas amarillas.</w:t>
      </w:r>
    </w:p>
    <w:p>
      <w:pPr>
        <w:pStyle w:val="ListParagraph"/>
        <w:numPr>
          <w:ilvl w:val="0"/>
          <w:numId w:val="2"/>
        </w:numPr>
        <w:spacing w:after="40" w:before="40"/>
      </w:pPr>
      <w:r>
        <w:rPr>
          <w:rFonts w:ascii="Inter" w:cs="Inter" w:eastAsia="Inter" w:hAnsi="Inter"/>
          <w:b w:val="false"/>
          <w:bCs w:val="false"/>
          <w:color w:val="334155"/>
          <w:sz w:val="22"/>
          <w:szCs w:val="22"/>
        </w:rPr>
        <w:t xml:space="preserve">Persistencia en SQLite con sync_status pending.</w:t>
      </w:r>
    </w:p>
    <w:p>
      <w:pPr>
        <w:pStyle w:val="Heading3"/>
        <w:spacing w:after="80" w:before="200"/>
      </w:pPr>
      <w:r>
        <w:rPr>
          <w:rFonts w:ascii="Montserrat" w:cs="Montserrat" w:eastAsia="Montserrat" w:hAnsi="Montserrat"/>
          <w:b/>
          <w:bCs/>
          <w:color w:val="C29B57"/>
          <w:sz w:val="22"/>
          <w:szCs w:val="22"/>
        </w:rPr>
        <w:t xml:space="preserve">Definition of Done</w:t>
      </w:r>
    </w:p>
    <w:p>
      <w:pPr>
        <w:pStyle w:val="ListParagraph"/>
        <w:numPr>
          <w:ilvl w:val="0"/>
          <w:numId w:val="2"/>
        </w:numPr>
        <w:spacing w:after="40" w:before="40"/>
      </w:pPr>
      <w:r>
        <w:rPr>
          <w:rFonts w:ascii="Inter" w:cs="Inter" w:eastAsia="Inter" w:hAnsi="Inter"/>
          <w:b/>
          <w:bCs/>
          <w:color w:val="334155"/>
          <w:sz w:val="22"/>
          <w:szCs w:val="22"/>
        </w:rPr>
        <w:t xml:space="preserve">Registrar TAN &gt; 1.8 mg/L bloquea inmediatamente con mensaje pedagógico.</w:t>
      </w:r>
    </w:p>
    <w:p>
      <w:pPr>
        <w:pStyle w:val="ListParagraph"/>
        <w:numPr>
          <w:ilvl w:val="0"/>
          <w:numId w:val="2"/>
        </w:numPr>
        <w:spacing w:after="40" w:before="40"/>
      </w:pPr>
      <w:r>
        <w:rPr>
          <w:rFonts w:ascii="Inter" w:cs="Inter" w:eastAsia="Inter" w:hAnsi="Inter"/>
          <w:b w:val="false"/>
          <w:bCs w:val="false"/>
          <w:color w:val="334155"/>
          <w:sz w:val="22"/>
          <w:szCs w:val="22"/>
        </w:rPr>
        <w:t xml:space="preserve">Operario puede registrar 50 mediciones consecutivas offline sin degradación de UX.</w:t>
      </w:r>
    </w:p>
    <w:p>
      <w:pPr>
        <w:spacing w:after="120" w:before="120"/>
      </w:pPr>
      <w:r>
        <w:t xml:space="preserve"/>
      </w:r>
    </w:p>
    <w:p>
      <w:pPr>
        <w:pStyle w:val="Heading2"/>
        <w:spacing w:after="120" w:before="280"/>
      </w:pPr>
      <w:r>
        <w:rPr>
          <w:rFonts w:ascii="Montserrat" w:cs="Montserrat" w:eastAsia="Montserrat" w:hAnsi="Montserrat"/>
          <w:b/>
          <w:bCs/>
          <w:color w:val="1A335C"/>
          <w:sz w:val="26"/>
          <w:szCs w:val="26"/>
        </w:rPr>
        <w:t xml:space="preserve">Sprint 3 — Alimentación y Biomasa (Semanas 7-8)</w:t>
      </w:r>
    </w:p>
    <w:p>
      <w:pPr>
        <w:pStyle w:val="Heading3"/>
        <w:spacing w:after="80" w:before="200"/>
      </w:pPr>
      <w:r>
        <w:rPr>
          <w:rFonts w:ascii="Montserrat" w:cs="Montserrat" w:eastAsia="Montserrat" w:hAnsi="Montserrat"/>
          <w:b/>
          <w:bCs/>
          <w:color w:val="C29B57"/>
          <w:sz w:val="22"/>
          <w:szCs w:val="22"/>
        </w:rPr>
        <w:t xml:space="preserve">Objetivo</w:t>
      </w:r>
    </w:p>
    <w:p>
      <w:pPr>
        <w:spacing w:after="80" w:before="60"/>
      </w:pPr>
      <w:r>
        <w:rPr>
          <w:rFonts w:ascii="Inter" w:cs="Inter" w:eastAsia="Inter" w:hAnsi="Inter"/>
          <w:color w:val="334155"/>
          <w:sz w:val="22"/>
          <w:szCs w:val="22"/>
        </w:rPr>
        <w:t xml:space="preserve">Implementar el flujo más complejo: control de alimentación con Hard Limit dinámico basado en biomasa estimada.</w:t>
      </w:r>
    </w:p>
    <w:p>
      <w:pPr>
        <w:pStyle w:val="Heading3"/>
        <w:spacing w:after="80" w:before="200"/>
      </w:pPr>
      <w:r>
        <w:rPr>
          <w:rFonts w:ascii="Montserrat" w:cs="Montserrat" w:eastAsia="Montserrat" w:hAnsi="Montserrat"/>
          <w:b/>
          <w:bCs/>
          <w:color w:val="C29B57"/>
          <w:sz w:val="22"/>
          <w:szCs w:val="22"/>
        </w:rPr>
        <w:t xml:space="preserve">Documentos de referencia</w:t>
      </w:r>
    </w:p>
    <w:p>
      <w:pPr>
        <w:pStyle w:val="ListParagraph"/>
        <w:numPr>
          <w:ilvl w:val="0"/>
          <w:numId w:val="2"/>
        </w:numPr>
        <w:spacing w:after="40" w:before="40"/>
      </w:pPr>
      <w:r>
        <w:rPr>
          <w:rFonts w:ascii="Inter" w:cs="Inter" w:eastAsia="Inter" w:hAnsi="Inter"/>
          <w:b w:val="false"/>
          <w:bCs w:val="false"/>
          <w:color w:val="334155"/>
          <w:sz w:val="22"/>
          <w:szCs w:val="22"/>
        </w:rPr>
        <w:t xml:space="preserve">CU-AQUA-04 (Registro de alimentación)</w:t>
      </w:r>
    </w:p>
    <w:p>
      <w:pPr>
        <w:pStyle w:val="ListParagraph"/>
        <w:numPr>
          <w:ilvl w:val="0"/>
          <w:numId w:val="2"/>
        </w:numPr>
        <w:spacing w:after="40" w:before="40"/>
      </w:pPr>
      <w:r>
        <w:rPr>
          <w:rFonts w:ascii="Inter" w:cs="Inter" w:eastAsia="Inter" w:hAnsi="Inter"/>
          <w:b w:val="false"/>
          <w:bCs w:val="false"/>
          <w:color w:val="334155"/>
          <w:sz w:val="22"/>
          <w:szCs w:val="22"/>
        </w:rPr>
        <w:t xml:space="preserve">CU-AQUA-07 (Muestreo biométrico)</w:t>
      </w:r>
    </w:p>
    <w:p>
      <w:pPr>
        <w:pStyle w:val="ListParagraph"/>
        <w:numPr>
          <w:ilvl w:val="0"/>
          <w:numId w:val="2"/>
        </w:numPr>
        <w:spacing w:after="40" w:before="40"/>
      </w:pPr>
      <w:r>
        <w:rPr>
          <w:rFonts w:ascii="Inter" w:cs="Inter" w:eastAsia="Inter" w:hAnsi="Inter"/>
          <w:b w:val="false"/>
          <w:bCs w:val="false"/>
          <w:color w:val="334155"/>
          <w:sz w:val="22"/>
          <w:szCs w:val="22"/>
        </w:rPr>
        <w:t xml:space="preserve">TDD-04 (Motor de biomasa local)</w:t>
      </w:r>
    </w:p>
    <w:p>
      <w:pPr>
        <w:pStyle w:val="Heading3"/>
        <w:spacing w:after="80" w:before="200"/>
      </w:pPr>
      <w:r>
        <w:rPr>
          <w:rFonts w:ascii="Montserrat" w:cs="Montserrat" w:eastAsia="Montserrat" w:hAnsi="Montserrat"/>
          <w:b/>
          <w:bCs/>
          <w:color w:val="C29B57"/>
          <w:sz w:val="22"/>
          <w:szCs w:val="22"/>
        </w:rPr>
        <w:t xml:space="preserve">Entregables</w:t>
      </w:r>
    </w:p>
    <w:p>
      <w:pPr>
        <w:pStyle w:val="ListParagraph"/>
        <w:numPr>
          <w:ilvl w:val="0"/>
          <w:numId w:val="2"/>
        </w:numPr>
        <w:spacing w:after="40" w:before="40"/>
      </w:pPr>
      <w:r>
        <w:rPr>
          <w:rFonts w:ascii="Inter" w:cs="Inter" w:eastAsia="Inter" w:hAnsi="Inter"/>
          <w:b w:val="false"/>
          <w:bCs w:val="false"/>
          <w:color w:val="334155"/>
          <w:sz w:val="22"/>
          <w:szCs w:val="22"/>
        </w:rPr>
        <w:t xml:space="preserve">biomassEngine.ts implementado con cálculo de LMAx y proyección de peso por días.</w:t>
      </w:r>
    </w:p>
    <w:p>
      <w:pPr>
        <w:pStyle w:val="ListParagraph"/>
        <w:numPr>
          <w:ilvl w:val="0"/>
          <w:numId w:val="2"/>
        </w:numPr>
        <w:spacing w:after="40" w:before="40"/>
      </w:pPr>
      <w:r>
        <w:rPr>
          <w:rFonts w:ascii="Inter" w:cs="Inter" w:eastAsia="Inter" w:hAnsi="Inter"/>
          <w:b w:val="false"/>
          <w:bCs w:val="false"/>
          <w:color w:val="334155"/>
          <w:sz w:val="22"/>
          <w:szCs w:val="22"/>
        </w:rPr>
        <w:t xml:space="preserve">Formulario de alimentación con cálculo en tiempo real del límite restante del día.</w:t>
      </w:r>
    </w:p>
    <w:p>
      <w:pPr>
        <w:pStyle w:val="ListParagraph"/>
        <w:numPr>
          <w:ilvl w:val="0"/>
          <w:numId w:val="2"/>
        </w:numPr>
        <w:spacing w:after="40" w:before="40"/>
      </w:pPr>
      <w:r>
        <w:rPr>
          <w:rFonts w:ascii="Inter" w:cs="Inter" w:eastAsia="Inter" w:hAnsi="Inter"/>
          <w:b w:val="false"/>
          <w:bCs w:val="false"/>
          <w:color w:val="334155"/>
          <w:sz w:val="22"/>
          <w:szCs w:val="22"/>
        </w:rPr>
        <w:t xml:space="preserve">Formulario de muestreo biométrico con CV% en vivo.</w:t>
      </w:r>
    </w:p>
    <w:p>
      <w:pPr>
        <w:pStyle w:val="ListParagraph"/>
        <w:numPr>
          <w:ilvl w:val="0"/>
          <w:numId w:val="2"/>
        </w:numPr>
        <w:spacing w:after="40" w:before="40"/>
      </w:pPr>
      <w:r>
        <w:rPr>
          <w:rFonts w:ascii="Inter" w:cs="Inter" w:eastAsia="Inter" w:hAnsi="Inter"/>
          <w:b w:val="false"/>
          <w:bCs w:val="false"/>
          <w:color w:val="334155"/>
          <w:sz w:val="22"/>
          <w:szCs w:val="22"/>
        </w:rPr>
        <w:t xml:space="preserve">Actualización local de peso_promedio_actual_g tras muestreo validado.</w:t>
      </w:r>
    </w:p>
    <w:p>
      <w:pPr>
        <w:pStyle w:val="Heading3"/>
        <w:spacing w:after="80" w:before="200"/>
      </w:pPr>
      <w:r>
        <w:rPr>
          <w:rFonts w:ascii="Montserrat" w:cs="Montserrat" w:eastAsia="Montserrat" w:hAnsi="Montserrat"/>
          <w:b/>
          <w:bCs/>
          <w:color w:val="C29B57"/>
          <w:sz w:val="22"/>
          <w:szCs w:val="22"/>
        </w:rPr>
        <w:t xml:space="preserve">Definition of Done</w:t>
      </w:r>
    </w:p>
    <w:p>
      <w:pPr>
        <w:pStyle w:val="ListParagraph"/>
        <w:numPr>
          <w:ilvl w:val="0"/>
          <w:numId w:val="2"/>
        </w:numPr>
        <w:spacing w:after="40" w:before="40"/>
      </w:pPr>
      <w:r>
        <w:rPr>
          <w:rFonts w:ascii="Inter" w:cs="Inter" w:eastAsia="Inter" w:hAnsi="Inter"/>
          <w:b w:val="false"/>
          <w:bCs w:val="false"/>
          <w:color w:val="334155"/>
          <w:sz w:val="22"/>
          <w:szCs w:val="22"/>
        </w:rPr>
        <w:t xml:space="preserve">Intentar alimentar 60 kg en lote con LMAx 37.5 kg dispara bloqueo.</w:t>
      </w:r>
    </w:p>
    <w:p>
      <w:pPr>
        <w:pStyle w:val="ListParagraph"/>
        <w:numPr>
          <w:ilvl w:val="0"/>
          <w:numId w:val="2"/>
        </w:numPr>
        <w:spacing w:after="40" w:before="40"/>
      </w:pPr>
      <w:r>
        <w:rPr>
          <w:rFonts w:ascii="Inter" w:cs="Inter" w:eastAsia="Inter" w:hAnsi="Inter"/>
          <w:b w:val="false"/>
          <w:bCs w:val="false"/>
          <w:color w:val="334155"/>
          <w:sz w:val="22"/>
          <w:szCs w:val="22"/>
        </w:rPr>
        <w:t xml:space="preserve">Tras un muestreo con CV% = 25%, el LMAx se actualiza inmediatamente en la siguiente alimentación del día.</w:t>
      </w:r>
    </w:p>
    <w:p>
      <w:pPr>
        <w:spacing w:after="120" w:before="120"/>
      </w:pPr>
      <w:r>
        <w:t xml:space="preserve"/>
      </w:r>
    </w:p>
    <w:p>
      <w:pPr>
        <w:pStyle w:val="Heading2"/>
        <w:spacing w:after="120" w:before="280"/>
      </w:pPr>
      <w:r>
        <w:rPr>
          <w:rFonts w:ascii="Montserrat" w:cs="Montserrat" w:eastAsia="Montserrat" w:hAnsi="Montserrat"/>
          <w:b/>
          <w:bCs/>
          <w:color w:val="1A335C"/>
          <w:sz w:val="26"/>
          <w:szCs w:val="26"/>
        </w:rPr>
        <w:t xml:space="preserve">Sprint 4 — Mortalidad y Sincronización (Semanas 9-10)</w:t>
      </w:r>
    </w:p>
    <w:p>
      <w:pPr>
        <w:pStyle w:val="Heading3"/>
        <w:spacing w:after="80" w:before="200"/>
      </w:pPr>
      <w:r>
        <w:rPr>
          <w:rFonts w:ascii="Montserrat" w:cs="Montserrat" w:eastAsia="Montserrat" w:hAnsi="Montserrat"/>
          <w:b/>
          <w:bCs/>
          <w:color w:val="C29B57"/>
          <w:sz w:val="22"/>
          <w:szCs w:val="22"/>
        </w:rPr>
        <w:t xml:space="preserve">Objetivo</w:t>
      </w:r>
    </w:p>
    <w:p>
      <w:pPr>
        <w:spacing w:after="80" w:before="60"/>
      </w:pPr>
      <w:r>
        <w:rPr>
          <w:rFonts w:ascii="Inter" w:cs="Inter" w:eastAsia="Inter" w:hAnsi="Inter"/>
          <w:color w:val="334155"/>
          <w:sz w:val="22"/>
          <w:szCs w:val="22"/>
        </w:rPr>
        <w:t xml:space="preserve">Implementar el flujo de mortalidad y el motor de sincronización con resolución CRDT correcta.</w:t>
      </w:r>
    </w:p>
    <w:p>
      <w:pPr>
        <w:pStyle w:val="Heading3"/>
        <w:spacing w:after="80" w:before="200"/>
      </w:pPr>
      <w:r>
        <w:rPr>
          <w:rFonts w:ascii="Montserrat" w:cs="Montserrat" w:eastAsia="Montserrat" w:hAnsi="Montserrat"/>
          <w:b/>
          <w:bCs/>
          <w:color w:val="C29B57"/>
          <w:sz w:val="22"/>
          <w:szCs w:val="22"/>
        </w:rPr>
        <w:t xml:space="preserve">Documentos de referencia</w:t>
      </w:r>
    </w:p>
    <w:p>
      <w:pPr>
        <w:pStyle w:val="ListParagraph"/>
        <w:numPr>
          <w:ilvl w:val="0"/>
          <w:numId w:val="2"/>
        </w:numPr>
        <w:spacing w:after="40" w:before="40"/>
      </w:pPr>
      <w:r>
        <w:rPr>
          <w:rFonts w:ascii="Inter" w:cs="Inter" w:eastAsia="Inter" w:hAnsi="Inter"/>
          <w:b w:val="false"/>
          <w:bCs w:val="false"/>
          <w:color w:val="334155"/>
          <w:sz w:val="22"/>
          <w:szCs w:val="22"/>
        </w:rPr>
        <w:t xml:space="preserve">CU-AQUA-05 (Registro de mortalidad)</w:t>
      </w:r>
    </w:p>
    <w:p>
      <w:pPr>
        <w:pStyle w:val="ListParagraph"/>
        <w:numPr>
          <w:ilvl w:val="0"/>
          <w:numId w:val="2"/>
        </w:numPr>
        <w:spacing w:after="40" w:before="40"/>
      </w:pPr>
      <w:r>
        <w:rPr>
          <w:rFonts w:ascii="Inter" w:cs="Inter" w:eastAsia="Inter" w:hAnsi="Inter"/>
          <w:b w:val="false"/>
          <w:bCs w:val="false"/>
          <w:color w:val="334155"/>
          <w:sz w:val="22"/>
          <w:szCs w:val="22"/>
        </w:rPr>
        <w:t xml:space="preserve">CU-AQUA-06 (Sincronización)</w:t>
      </w:r>
    </w:p>
    <w:p>
      <w:pPr>
        <w:pStyle w:val="ListParagraph"/>
        <w:numPr>
          <w:ilvl w:val="0"/>
          <w:numId w:val="2"/>
        </w:numPr>
        <w:spacing w:after="40" w:before="40"/>
      </w:pPr>
      <w:r>
        <w:rPr>
          <w:rFonts w:ascii="Inter" w:cs="Inter" w:eastAsia="Inter" w:hAnsi="Inter"/>
          <w:b w:val="false"/>
          <w:bCs w:val="false"/>
          <w:color w:val="334155"/>
          <w:sz w:val="22"/>
          <w:szCs w:val="22"/>
        </w:rPr>
        <w:t xml:space="preserve">TDD-05 (Protocolo CRDT con PN-Counter)</w:t>
      </w:r>
    </w:p>
    <w:p>
      <w:pPr>
        <w:pStyle w:val="Heading3"/>
        <w:spacing w:after="80" w:before="200"/>
      </w:pPr>
      <w:r>
        <w:rPr>
          <w:rFonts w:ascii="Montserrat" w:cs="Montserrat" w:eastAsia="Montserrat" w:hAnsi="Montserrat"/>
          <w:b/>
          <w:bCs/>
          <w:color w:val="C29B57"/>
          <w:sz w:val="22"/>
          <w:szCs w:val="22"/>
        </w:rPr>
        <w:t xml:space="preserve">Entregables</w:t>
      </w:r>
    </w:p>
    <w:p>
      <w:pPr>
        <w:pStyle w:val="ListParagraph"/>
        <w:numPr>
          <w:ilvl w:val="0"/>
          <w:numId w:val="2"/>
        </w:numPr>
        <w:spacing w:after="40" w:before="40"/>
      </w:pPr>
      <w:r>
        <w:rPr>
          <w:rFonts w:ascii="Inter" w:cs="Inter" w:eastAsia="Inter" w:hAnsi="Inter"/>
          <w:b w:val="false"/>
          <w:bCs w:val="false"/>
          <w:color w:val="334155"/>
          <w:sz w:val="22"/>
          <w:szCs w:val="22"/>
        </w:rPr>
        <w:t xml:space="preserve">Endpoint POST /api/v1/sync/batch con merge CRDT por tipo de registro.</w:t>
      </w:r>
    </w:p>
    <w:p>
      <w:pPr>
        <w:pStyle w:val="ListParagraph"/>
        <w:numPr>
          <w:ilvl w:val="0"/>
          <w:numId w:val="2"/>
        </w:numPr>
        <w:spacing w:after="40" w:before="40"/>
      </w:pPr>
      <w:r>
        <w:rPr>
          <w:rFonts w:ascii="Inter" w:cs="Inter" w:eastAsia="Inter" w:hAnsi="Inter"/>
          <w:b w:val="false"/>
          <w:bCs w:val="false"/>
          <w:color w:val="334155"/>
          <w:sz w:val="22"/>
          <w:szCs w:val="22"/>
        </w:rPr>
        <w:t xml:space="preserve">MortalityPNCounter implementado en el servidor.</w:t>
      </w:r>
    </w:p>
    <w:p>
      <w:pPr>
        <w:pStyle w:val="ListParagraph"/>
        <w:numPr>
          <w:ilvl w:val="0"/>
          <w:numId w:val="2"/>
        </w:numPr>
        <w:spacing w:after="40" w:before="40"/>
      </w:pPr>
      <w:r>
        <w:rPr>
          <w:rFonts w:ascii="Inter" w:cs="Inter" w:eastAsia="Inter" w:hAnsi="Inter"/>
          <w:b w:val="false"/>
          <w:bCs w:val="false"/>
          <w:color w:val="334155"/>
          <w:sz w:val="22"/>
          <w:szCs w:val="22"/>
        </w:rPr>
        <w:t xml:space="preserve">Cliente mobile con cola de sincronización persistente y reintentos exponenciales.</w:t>
      </w:r>
    </w:p>
    <w:p>
      <w:pPr>
        <w:pStyle w:val="ListParagraph"/>
        <w:numPr>
          <w:ilvl w:val="0"/>
          <w:numId w:val="2"/>
        </w:numPr>
        <w:spacing w:after="40" w:before="40"/>
      </w:pPr>
      <w:r>
        <w:rPr>
          <w:rFonts w:ascii="Inter" w:cs="Inter" w:eastAsia="Inter" w:hAnsi="Inter"/>
          <w:b w:val="false"/>
          <w:bCs w:val="false"/>
          <w:color w:val="334155"/>
          <w:sz w:val="22"/>
          <w:szCs w:val="22"/>
        </w:rPr>
        <w:t xml:space="preserve">Resolución de conflictos para Vector Clock en saldos de inventario.</w:t>
      </w:r>
    </w:p>
    <w:p>
      <w:pPr>
        <w:pStyle w:val="Heading3"/>
        <w:spacing w:after="80" w:before="200"/>
      </w:pPr>
      <w:r>
        <w:rPr>
          <w:rFonts w:ascii="Montserrat" w:cs="Montserrat" w:eastAsia="Montserrat" w:hAnsi="Montserrat"/>
          <w:b/>
          <w:bCs/>
          <w:color w:val="C29B57"/>
          <w:sz w:val="22"/>
          <w:szCs w:val="22"/>
        </w:rPr>
        <w:t xml:space="preserve">Definition of Done</w:t>
      </w:r>
    </w:p>
    <w:p>
      <w:pPr>
        <w:pStyle w:val="ListParagraph"/>
        <w:numPr>
          <w:ilvl w:val="0"/>
          <w:numId w:val="2"/>
        </w:numPr>
        <w:spacing w:after="40" w:before="40"/>
      </w:pPr>
      <w:r>
        <w:rPr>
          <w:rFonts w:ascii="Inter" w:cs="Inter" w:eastAsia="Inter" w:hAnsi="Inter"/>
          <w:b/>
          <w:bCs/>
          <w:color w:val="334155"/>
          <w:sz w:val="22"/>
          <w:szCs w:val="22"/>
        </w:rPr>
        <w:t xml:space="preserve">Test de concurrencia: 2 dispositivos offline registran 50 + 30 mortalidades. Tras sync, BD muestra 80.</w:t>
      </w:r>
    </w:p>
    <w:p>
      <w:pPr>
        <w:pStyle w:val="ListParagraph"/>
        <w:numPr>
          <w:ilvl w:val="0"/>
          <w:numId w:val="2"/>
        </w:numPr>
        <w:spacing w:after="40" w:before="40"/>
      </w:pPr>
      <w:r>
        <w:rPr>
          <w:rFonts w:ascii="Inter" w:cs="Inter" w:eastAsia="Inter" w:hAnsi="Inter"/>
          <w:b/>
          <w:bCs/>
          <w:color w:val="334155"/>
          <w:sz w:val="22"/>
          <w:szCs w:val="22"/>
        </w:rPr>
        <w:t xml:space="preserve">Reenvíos del mismo batch no generan duplicados (idempotencia por UUID).</w:t>
      </w:r>
    </w:p>
    <w:p>
      <w:pPr>
        <w:spacing w:after="120" w:before="120"/>
      </w:pPr>
      <w:r>
        <w:t xml:space="preserve"/>
      </w:r>
    </w:p>
    <w:p>
      <w:pPr>
        <w:pStyle w:val="Heading2"/>
        <w:spacing w:after="120" w:before="280"/>
      </w:pPr>
      <w:r>
        <w:rPr>
          <w:rFonts w:ascii="Montserrat" w:cs="Montserrat" w:eastAsia="Montserrat" w:hAnsi="Montserrat"/>
          <w:b/>
          <w:bCs/>
          <w:color w:val="1A335C"/>
          <w:sz w:val="26"/>
          <w:szCs w:val="26"/>
        </w:rPr>
        <w:t xml:space="preserve">Sprint 5 — Compliance ICA y Catálogos (Semanas 11-12)</w:t>
      </w:r>
    </w:p>
    <w:p>
      <w:pPr>
        <w:pStyle w:val="Heading3"/>
        <w:spacing w:after="80" w:before="200"/>
      </w:pPr>
      <w:r>
        <w:rPr>
          <w:rFonts w:ascii="Montserrat" w:cs="Montserrat" w:eastAsia="Montserrat" w:hAnsi="Montserrat"/>
          <w:b/>
          <w:bCs/>
          <w:color w:val="C29B57"/>
          <w:sz w:val="22"/>
          <w:szCs w:val="22"/>
        </w:rPr>
        <w:t xml:space="preserve">Objetivo</w:t>
      </w:r>
    </w:p>
    <w:p>
      <w:pPr>
        <w:spacing w:after="80" w:before="60"/>
      </w:pPr>
      <w:r>
        <w:rPr>
          <w:rFonts w:ascii="Inter" w:cs="Inter" w:eastAsia="Inter" w:hAnsi="Inter"/>
          <w:color w:val="334155"/>
          <w:sz w:val="22"/>
          <w:szCs w:val="22"/>
        </w:rPr>
        <w:t xml:space="preserve">Cerrar el bucle regulatorio implementando trazabilidad de insumos sanitarios y gobernanza de catálogos.</w:t>
      </w:r>
    </w:p>
    <w:p>
      <w:pPr>
        <w:pStyle w:val="Heading3"/>
        <w:spacing w:after="80" w:before="200"/>
      </w:pPr>
      <w:r>
        <w:rPr>
          <w:rFonts w:ascii="Montserrat" w:cs="Montserrat" w:eastAsia="Montserrat" w:hAnsi="Montserrat"/>
          <w:b/>
          <w:bCs/>
          <w:color w:val="C29B57"/>
          <w:sz w:val="22"/>
          <w:szCs w:val="22"/>
        </w:rPr>
        <w:t xml:space="preserve">Documentos de referencia</w:t>
      </w:r>
    </w:p>
    <w:p>
      <w:pPr>
        <w:pStyle w:val="ListParagraph"/>
        <w:numPr>
          <w:ilvl w:val="0"/>
          <w:numId w:val="2"/>
        </w:numPr>
        <w:spacing w:after="40" w:before="40"/>
      </w:pPr>
      <w:r>
        <w:rPr>
          <w:rFonts w:ascii="Inter" w:cs="Inter" w:eastAsia="Inter" w:hAnsi="Inter"/>
          <w:b w:val="false"/>
          <w:bCs w:val="false"/>
          <w:color w:val="334155"/>
          <w:sz w:val="22"/>
          <w:szCs w:val="22"/>
        </w:rPr>
        <w:t xml:space="preserve">CU-AQUA-08 (Aplicación de insumo sanitario)</w:t>
      </w:r>
    </w:p>
    <w:p>
      <w:pPr>
        <w:pStyle w:val="ListParagraph"/>
        <w:numPr>
          <w:ilvl w:val="0"/>
          <w:numId w:val="2"/>
        </w:numPr>
        <w:spacing w:after="40" w:before="40"/>
      </w:pPr>
      <w:r>
        <w:rPr>
          <w:rFonts w:ascii="Inter" w:cs="Inter" w:eastAsia="Inter" w:hAnsi="Inter"/>
          <w:b w:val="false"/>
          <w:bCs w:val="false"/>
          <w:color w:val="334155"/>
          <w:sz w:val="22"/>
          <w:szCs w:val="22"/>
        </w:rPr>
        <w:t xml:space="preserve">TDD-07 Parte B (módulo de trazabilidad)</w:t>
      </w:r>
    </w:p>
    <w:p>
      <w:pPr>
        <w:pStyle w:val="ListParagraph"/>
        <w:numPr>
          <w:ilvl w:val="0"/>
          <w:numId w:val="2"/>
        </w:numPr>
        <w:spacing w:after="40" w:before="40"/>
      </w:pPr>
      <w:r>
        <w:rPr>
          <w:rFonts w:ascii="Inter" w:cs="Inter" w:eastAsia="Inter" w:hAnsi="Inter"/>
          <w:b w:val="false"/>
          <w:bCs w:val="false"/>
          <w:color w:val="334155"/>
          <w:sz w:val="22"/>
          <w:szCs w:val="22"/>
        </w:rPr>
        <w:t xml:space="preserve">TDD-10 Parte B (gobernanza de catálogos)</w:t>
      </w:r>
    </w:p>
    <w:p>
      <w:pPr>
        <w:pStyle w:val="Heading3"/>
        <w:spacing w:after="80" w:before="200"/>
      </w:pPr>
      <w:r>
        <w:rPr>
          <w:rFonts w:ascii="Montserrat" w:cs="Montserrat" w:eastAsia="Montserrat" w:hAnsi="Montserrat"/>
          <w:b/>
          <w:bCs/>
          <w:color w:val="C29B57"/>
          <w:sz w:val="22"/>
          <w:szCs w:val="22"/>
        </w:rPr>
        <w:t xml:space="preserve">Entregables</w:t>
      </w:r>
    </w:p>
    <w:p>
      <w:pPr>
        <w:pStyle w:val="ListParagraph"/>
        <w:numPr>
          <w:ilvl w:val="0"/>
          <w:numId w:val="2"/>
        </w:numPr>
        <w:spacing w:after="40" w:before="40"/>
      </w:pPr>
      <w:r>
        <w:rPr>
          <w:rFonts w:ascii="Inter" w:cs="Inter" w:eastAsia="Inter" w:hAnsi="Inter"/>
          <w:b w:val="false"/>
          <w:bCs w:val="false"/>
          <w:color w:val="334155"/>
          <w:sz w:val="22"/>
          <w:szCs w:val="22"/>
        </w:rPr>
        <w:t xml:space="preserve">Catálogo Maestro Global pre-poblado con ~50 insumos comunes en acuicultura colombiana.</w:t>
      </w:r>
    </w:p>
    <w:p>
      <w:pPr>
        <w:pStyle w:val="ListParagraph"/>
        <w:numPr>
          <w:ilvl w:val="0"/>
          <w:numId w:val="2"/>
        </w:numPr>
        <w:spacing w:after="40" w:before="40"/>
      </w:pPr>
      <w:r>
        <w:rPr>
          <w:rFonts w:ascii="Inter" w:cs="Inter" w:eastAsia="Inter" w:hAnsi="Inter"/>
          <w:b w:val="false"/>
          <w:bCs w:val="false"/>
          <w:color w:val="334155"/>
          <w:sz w:val="22"/>
          <w:szCs w:val="22"/>
        </w:rPr>
        <w:t xml:space="preserve">Flujo CU-AQUA-08 completo con cálculo de fecha_fin_retiro automático.</w:t>
      </w:r>
    </w:p>
    <w:p>
      <w:pPr>
        <w:pStyle w:val="ListParagraph"/>
        <w:numPr>
          <w:ilvl w:val="0"/>
          <w:numId w:val="2"/>
        </w:numPr>
        <w:spacing w:after="40" w:before="40"/>
      </w:pPr>
      <w:r>
        <w:rPr>
          <w:rFonts w:ascii="Inter" w:cs="Inter" w:eastAsia="Inter" w:hAnsi="Inter"/>
          <w:b w:val="false"/>
          <w:bCs w:val="false"/>
          <w:color w:val="334155"/>
          <w:sz w:val="22"/>
          <w:szCs w:val="22"/>
        </w:rPr>
        <w:t xml:space="preserve">Bloqueo de cosecha en dashboard del lote durante período de retiro.</w:t>
      </w:r>
    </w:p>
    <w:p>
      <w:pPr>
        <w:pStyle w:val="ListParagraph"/>
        <w:numPr>
          <w:ilvl w:val="0"/>
          <w:numId w:val="2"/>
        </w:numPr>
        <w:spacing w:after="40" w:before="40"/>
      </w:pPr>
      <w:r>
        <w:rPr>
          <w:rFonts w:ascii="Inter" w:cs="Inter" w:eastAsia="Inter" w:hAnsi="Inter"/>
          <w:b w:val="false"/>
          <w:bCs w:val="false"/>
          <w:color w:val="334155"/>
          <w:sz w:val="22"/>
          <w:szCs w:val="22"/>
        </w:rPr>
        <w:t xml:space="preserve">Panel del Gerente con flujo de aprobación de insumos locales.</w:t>
      </w:r>
    </w:p>
    <w:p>
      <w:pPr>
        <w:pStyle w:val="Heading3"/>
        <w:spacing w:after="80" w:before="200"/>
      </w:pPr>
      <w:r>
        <w:rPr>
          <w:rFonts w:ascii="Montserrat" w:cs="Montserrat" w:eastAsia="Montserrat" w:hAnsi="Montserrat"/>
          <w:b/>
          <w:bCs/>
          <w:color w:val="C29B57"/>
          <w:sz w:val="22"/>
          <w:szCs w:val="22"/>
        </w:rPr>
        <w:t xml:space="preserve">Definition of Done</w:t>
      </w:r>
    </w:p>
    <w:p>
      <w:pPr>
        <w:pStyle w:val="ListParagraph"/>
        <w:numPr>
          <w:ilvl w:val="0"/>
          <w:numId w:val="2"/>
        </w:numPr>
        <w:spacing w:after="40" w:before="40"/>
      </w:pPr>
      <w:r>
        <w:rPr>
          <w:rFonts w:ascii="Inter" w:cs="Inter" w:eastAsia="Inter" w:hAnsi="Inter"/>
          <w:b w:val="false"/>
          <w:bCs w:val="false"/>
          <w:color w:val="334155"/>
          <w:sz w:val="22"/>
          <w:szCs w:val="22"/>
        </w:rPr>
        <w:t xml:space="preserve">Aplicar Florfenicol bloquea cosecha por 12 días automáticamente.</w:t>
      </w:r>
    </w:p>
    <w:p>
      <w:pPr>
        <w:pStyle w:val="ListParagraph"/>
        <w:numPr>
          <w:ilvl w:val="0"/>
          <w:numId w:val="2"/>
        </w:numPr>
        <w:spacing w:after="40" w:before="40"/>
      </w:pPr>
      <w:r>
        <w:rPr>
          <w:rFonts w:ascii="Inter" w:cs="Inter" w:eastAsia="Inter" w:hAnsi="Inter"/>
          <w:b w:val="false"/>
          <w:bCs w:val="false"/>
          <w:color w:val="334155"/>
          <w:sz w:val="22"/>
          <w:szCs w:val="22"/>
        </w:rPr>
        <w:t xml:space="preserve">Insumo sin ICA exige declaración explícita del Gerente y queda flagueado.</w:t>
      </w:r>
    </w:p>
    <w:p>
      <w:pPr>
        <w:spacing w:after="120" w:before="120"/>
      </w:pPr>
      <w:r>
        <w:t xml:space="preserve"/>
      </w:r>
    </w:p>
    <w:p>
      <w:pPr>
        <w:pStyle w:val="Heading2"/>
        <w:spacing w:after="120" w:before="280"/>
      </w:pPr>
      <w:r>
        <w:rPr>
          <w:rFonts w:ascii="Montserrat" w:cs="Montserrat" w:eastAsia="Montserrat" w:hAnsi="Montserrat"/>
          <w:b/>
          <w:bCs/>
          <w:color w:val="1A335C"/>
          <w:sz w:val="26"/>
          <w:szCs w:val="26"/>
        </w:rPr>
        <w:t xml:space="preserve">Sprint 6 — Modo Remoto y Hardening (Semanas 13-14)</w:t>
      </w:r>
    </w:p>
    <w:p>
      <w:pPr>
        <w:pStyle w:val="Heading3"/>
        <w:spacing w:after="80" w:before="200"/>
      </w:pPr>
      <w:r>
        <w:rPr>
          <w:rFonts w:ascii="Montserrat" w:cs="Montserrat" w:eastAsia="Montserrat" w:hAnsi="Montserrat"/>
          <w:b/>
          <w:bCs/>
          <w:color w:val="C29B57"/>
          <w:sz w:val="22"/>
          <w:szCs w:val="22"/>
        </w:rPr>
        <w:t xml:space="preserve">Objetivo</w:t>
      </w:r>
    </w:p>
    <w:p>
      <w:pPr>
        <w:spacing w:after="80" w:before="60"/>
      </w:pPr>
      <w:r>
        <w:rPr>
          <w:rFonts w:ascii="Inter" w:cs="Inter" w:eastAsia="Inter" w:hAnsi="Inter"/>
          <w:color w:val="334155"/>
          <w:sz w:val="22"/>
          <w:szCs w:val="22"/>
        </w:rPr>
        <w:t xml:space="preserve">Habilitar la operación en zonas sin conectividad y endurecer la aplicación para piloto en producción.</w:t>
      </w:r>
    </w:p>
    <w:p>
      <w:pPr>
        <w:pStyle w:val="Heading3"/>
        <w:spacing w:after="80" w:before="200"/>
      </w:pPr>
      <w:r>
        <w:rPr>
          <w:rFonts w:ascii="Montserrat" w:cs="Montserrat" w:eastAsia="Montserrat" w:hAnsi="Montserrat"/>
          <w:b/>
          <w:bCs/>
          <w:color w:val="C29B57"/>
          <w:sz w:val="22"/>
          <w:szCs w:val="22"/>
        </w:rPr>
        <w:t xml:space="preserve">Documentos de referencia</w:t>
      </w:r>
    </w:p>
    <w:p>
      <w:pPr>
        <w:pStyle w:val="ListParagraph"/>
        <w:numPr>
          <w:ilvl w:val="0"/>
          <w:numId w:val="2"/>
        </w:numPr>
        <w:spacing w:after="40" w:before="40"/>
      </w:pPr>
      <w:r>
        <w:rPr>
          <w:rFonts w:ascii="Inter" w:cs="Inter" w:eastAsia="Inter" w:hAnsi="Inter"/>
          <w:b w:val="false"/>
          <w:bCs w:val="false"/>
          <w:color w:val="334155"/>
          <w:sz w:val="22"/>
          <w:szCs w:val="22"/>
        </w:rPr>
        <w:t xml:space="preserve">TDD-10 Parte A (Snapshot Token extendido y Modo Emergencia)</w:t>
      </w:r>
    </w:p>
    <w:p>
      <w:pPr>
        <w:pStyle w:val="Heading3"/>
        <w:spacing w:after="80" w:before="200"/>
      </w:pPr>
      <w:r>
        <w:rPr>
          <w:rFonts w:ascii="Montserrat" w:cs="Montserrat" w:eastAsia="Montserrat" w:hAnsi="Montserrat"/>
          <w:b/>
          <w:bCs/>
          <w:color w:val="C29B57"/>
          <w:sz w:val="22"/>
          <w:szCs w:val="22"/>
        </w:rPr>
        <w:t xml:space="preserve">Entregables</w:t>
      </w:r>
    </w:p>
    <w:p>
      <w:pPr>
        <w:pStyle w:val="ListParagraph"/>
        <w:numPr>
          <w:ilvl w:val="0"/>
          <w:numId w:val="2"/>
        </w:numPr>
        <w:spacing w:after="40" w:before="40"/>
      </w:pPr>
      <w:r>
        <w:rPr>
          <w:rFonts w:ascii="Inter" w:cs="Inter" w:eastAsia="Inter" w:hAnsi="Inter"/>
          <w:b w:val="false"/>
          <w:bCs w:val="false"/>
          <w:color w:val="334155"/>
          <w:sz w:val="22"/>
          <w:szCs w:val="22"/>
        </w:rPr>
        <w:t xml:space="preserve">Configuración por tenant de perfil_conectividad (estándar / remoto / itinerante).</w:t>
      </w:r>
    </w:p>
    <w:p>
      <w:pPr>
        <w:pStyle w:val="ListParagraph"/>
        <w:numPr>
          <w:ilvl w:val="0"/>
          <w:numId w:val="2"/>
        </w:numPr>
        <w:spacing w:after="40" w:before="40"/>
      </w:pPr>
      <w:r>
        <w:rPr>
          <w:rFonts w:ascii="Inter" w:cs="Inter" w:eastAsia="Inter" w:hAnsi="Inter"/>
          <w:b w:val="false"/>
          <w:bCs w:val="false"/>
          <w:color w:val="334155"/>
          <w:sz w:val="22"/>
          <w:szCs w:val="22"/>
        </w:rPr>
        <w:t xml:space="preserve">Modo Emergencia con flag y notificación al Super Admin.</w:t>
      </w:r>
    </w:p>
    <w:p>
      <w:pPr>
        <w:pStyle w:val="ListParagraph"/>
        <w:numPr>
          <w:ilvl w:val="0"/>
          <w:numId w:val="2"/>
        </w:numPr>
        <w:spacing w:after="40" w:before="40"/>
      </w:pPr>
      <w:r>
        <w:rPr>
          <w:rFonts w:ascii="Inter" w:cs="Inter" w:eastAsia="Inter" w:hAnsi="Inter"/>
          <w:b w:val="false"/>
          <w:bCs w:val="false"/>
          <w:color w:val="334155"/>
          <w:sz w:val="22"/>
          <w:szCs w:val="22"/>
        </w:rPr>
        <w:t xml:space="preserve">Banner visual de degradación progresiva del Snapshot.</w:t>
      </w:r>
    </w:p>
    <w:p>
      <w:pPr>
        <w:pStyle w:val="ListParagraph"/>
        <w:numPr>
          <w:ilvl w:val="0"/>
          <w:numId w:val="2"/>
        </w:numPr>
        <w:spacing w:after="40" w:before="40"/>
      </w:pPr>
      <w:r>
        <w:rPr>
          <w:rFonts w:ascii="Inter" w:cs="Inter" w:eastAsia="Inter" w:hAnsi="Inter"/>
          <w:b w:val="false"/>
          <w:bCs w:val="false"/>
          <w:color w:val="334155"/>
          <w:sz w:val="22"/>
          <w:szCs w:val="22"/>
        </w:rPr>
        <w:t xml:space="preserve">Suite completa de tests E2E (Detox/Maestro) cubriendo los 8 CUs.</w:t>
      </w:r>
    </w:p>
    <w:p>
      <w:pPr>
        <w:pStyle w:val="ListParagraph"/>
        <w:numPr>
          <w:ilvl w:val="0"/>
          <w:numId w:val="2"/>
        </w:numPr>
        <w:spacing w:after="40" w:before="40"/>
      </w:pPr>
      <w:r>
        <w:rPr>
          <w:rFonts w:ascii="Inter" w:cs="Inter" w:eastAsia="Inter" w:hAnsi="Inter"/>
          <w:b w:val="false"/>
          <w:bCs w:val="false"/>
          <w:color w:val="334155"/>
          <w:sz w:val="22"/>
          <w:szCs w:val="22"/>
        </w:rPr>
        <w:t xml:space="preserve">Crash analytics integrado (Sentry).</w:t>
      </w:r>
    </w:p>
    <w:p>
      <w:pPr>
        <w:pStyle w:val="ListParagraph"/>
        <w:numPr>
          <w:ilvl w:val="0"/>
          <w:numId w:val="2"/>
        </w:numPr>
        <w:spacing w:after="40" w:before="40"/>
      </w:pPr>
      <w:r>
        <w:rPr>
          <w:rFonts w:ascii="Inter" w:cs="Inter" w:eastAsia="Inter" w:hAnsi="Inter"/>
          <w:b w:val="false"/>
          <w:bCs w:val="false"/>
          <w:color w:val="334155"/>
          <w:sz w:val="22"/>
          <w:szCs w:val="22"/>
        </w:rPr>
        <w:t xml:space="preserve">Performance baseline: tiempos de respuesta UI &lt; 200ms en dispositivos de gama media (4GB RAM).</w:t>
      </w:r>
    </w:p>
    <w:p>
      <w:pPr>
        <w:pStyle w:val="Heading3"/>
        <w:spacing w:after="80" w:before="200"/>
      </w:pPr>
      <w:r>
        <w:rPr>
          <w:rFonts w:ascii="Montserrat" w:cs="Montserrat" w:eastAsia="Montserrat" w:hAnsi="Montserrat"/>
          <w:b/>
          <w:bCs/>
          <w:color w:val="C29B57"/>
          <w:sz w:val="22"/>
          <w:szCs w:val="22"/>
        </w:rPr>
        <w:t xml:space="preserve">Definition of Done</w:t>
      </w:r>
    </w:p>
    <w:p>
      <w:pPr>
        <w:pStyle w:val="ListParagraph"/>
        <w:numPr>
          <w:ilvl w:val="0"/>
          <w:numId w:val="2"/>
        </w:numPr>
        <w:spacing w:after="40" w:before="40"/>
      </w:pPr>
      <w:r>
        <w:rPr>
          <w:rFonts w:ascii="Inter" w:cs="Inter" w:eastAsia="Inter" w:hAnsi="Inter"/>
          <w:b/>
          <w:bCs/>
          <w:color w:val="334155"/>
          <w:sz w:val="22"/>
          <w:szCs w:val="22"/>
        </w:rPr>
        <w:t xml:space="preserve">Tenant en Modo Remoto opera 47h offline y sincroniza correctamente al regresar.</w:t>
      </w:r>
    </w:p>
    <w:p>
      <w:pPr>
        <w:pStyle w:val="ListParagraph"/>
        <w:numPr>
          <w:ilvl w:val="0"/>
          <w:numId w:val="2"/>
        </w:numPr>
        <w:spacing w:after="40" w:before="40"/>
      </w:pPr>
      <w:r>
        <w:rPr>
          <w:rFonts w:ascii="Inter" w:cs="Inter" w:eastAsia="Inter" w:hAnsi="Inter"/>
          <w:b/>
          <w:bCs/>
          <w:color w:val="334155"/>
          <w:sz w:val="22"/>
          <w:szCs w:val="22"/>
        </w:rPr>
        <w:t xml:space="preserve">Suite E2E pasa al 100% en CI antes de cualquier release a producción.</w:t>
      </w:r>
    </w:p>
    <w:p>
      <w:pPr>
        <w:spacing w:after="120" w:before="120"/>
      </w:pPr>
      <w:r>
        <w:t xml:space="preserve"/>
      </w:r>
    </w:p>
    <w:p>
      <w:pPr>
        <w:pStyle w:val="Heading1"/>
        <w:pBdr>
          <w:bottom w:val="single" w:color="45C4B0" w:sz="8" w:space="4"/>
        </w:pBdr>
        <w:spacing w:after="160" w:before="360"/>
      </w:pPr>
      <w:r>
        <w:rPr>
          <w:rFonts w:ascii="Montserrat" w:cs="Montserrat" w:eastAsia="Montserrat" w:hAnsi="Montserrat"/>
          <w:b/>
          <w:bCs/>
          <w:color w:val="1A335C"/>
          <w:sz w:val="32"/>
          <w:szCs w:val="32"/>
        </w:rPr>
        <w:t xml:space="preserve">4. Hitos Clave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6160"/>
      </w:tblGrid>
      <w:tr>
        <w:trPr>
          <w:tblHeader/>
        </w:trPr>
        <w:tc>
          <w:tcPr>
            <w:tcW w:type="dxa" w:w="1400"/>
            <w:tcBorders>
              <w:top w:val="single" w:color="1A335C" w:sz="1"/>
              <w:left w:val="single" w:color="1A335C" w:sz="1"/>
              <w:bottom w:val="single" w:color="1A335C" w:sz="1"/>
              <w:right w:val="single" w:color="1A335C" w:sz="1"/>
            </w:tcBorders>
            <w:shd w:fill="1A335C" w:val="clear"/>
            <w:tcMar>
              <w:top w:type="dxa" w:w="80"/>
              <w:left w:type="dxa" w:w="120"/>
              <w:bottom w:type="dxa" w:w="80"/>
              <w:right w:type="dxa" w:w="120"/>
            </w:tcMar>
          </w:tcPr>
          <w:p>
            <w:pPr>
              <w:jc w:val="center"/>
            </w:pPr>
            <w:r>
              <w:rPr>
                <w:rFonts w:ascii="Montserrat" w:cs="Montserrat" w:eastAsia="Montserrat" w:hAnsi="Montserrat"/>
                <w:b/>
                <w:bCs/>
                <w:color w:val="FFFFFF"/>
                <w:sz w:val="20"/>
                <w:szCs w:val="20"/>
              </w:rPr>
              <w:t xml:space="preserve">Semana</w:t>
            </w:r>
          </w:p>
        </w:tc>
        <w:tc>
          <w:tcPr>
            <w:tcW w:type="dxa" w:w="1800"/>
            <w:tcBorders>
              <w:top w:val="single" w:color="1A335C" w:sz="1"/>
              <w:left w:val="single" w:color="1A335C" w:sz="1"/>
              <w:bottom w:val="single" w:color="1A335C" w:sz="1"/>
              <w:right w:val="single" w:color="1A335C" w:sz="1"/>
            </w:tcBorders>
            <w:shd w:fill="1A335C" w:val="clear"/>
            <w:tcMar>
              <w:top w:type="dxa" w:w="80"/>
              <w:left w:type="dxa" w:w="120"/>
              <w:bottom w:type="dxa" w:w="80"/>
              <w:right w:type="dxa" w:w="120"/>
            </w:tcMar>
          </w:tcPr>
          <w:p>
            <w:pPr>
              <w:jc w:val="center"/>
            </w:pPr>
            <w:r>
              <w:rPr>
                <w:rFonts w:ascii="Montserrat" w:cs="Montserrat" w:eastAsia="Montserrat" w:hAnsi="Montserrat"/>
                <w:b/>
                <w:bCs/>
                <w:color w:val="FFFFFF"/>
                <w:sz w:val="20"/>
                <w:szCs w:val="20"/>
              </w:rPr>
              <w:t xml:space="preserve">Hito</w:t>
            </w:r>
          </w:p>
        </w:tc>
        <w:tc>
          <w:tcPr>
            <w:tcW w:type="dxa" w:w="6160"/>
            <w:tcBorders>
              <w:top w:val="single" w:color="1A335C" w:sz="1"/>
              <w:left w:val="single" w:color="1A335C" w:sz="1"/>
              <w:bottom w:val="single" w:color="1A335C" w:sz="1"/>
              <w:right w:val="single" w:color="1A335C" w:sz="1"/>
            </w:tcBorders>
            <w:shd w:fill="1A335C" w:val="clear"/>
            <w:tcMar>
              <w:top w:type="dxa" w:w="80"/>
              <w:left w:type="dxa" w:w="120"/>
              <w:bottom w:type="dxa" w:w="80"/>
              <w:right w:type="dxa" w:w="120"/>
            </w:tcMar>
          </w:tcPr>
          <w:p>
            <w:pPr>
              <w:jc w:val="center"/>
            </w:pPr>
            <w:r>
              <w:rPr>
                <w:rFonts w:ascii="Montserrat" w:cs="Montserrat" w:eastAsia="Montserrat" w:hAnsi="Montserrat"/>
                <w:b/>
                <w:bCs/>
                <w:color w:val="FFFFFF"/>
                <w:sz w:val="20"/>
                <w:szCs w:val="20"/>
              </w:rPr>
              <w:t xml:space="preserve">Criterio de Validación</w:t>
            </w:r>
          </w:p>
        </w:tc>
      </w:tr>
      <w:tr>
        <w:tc>
          <w:tcPr>
            <w:tcW w:type="dxa" w:w="1400"/>
            <w:tcBorders>
              <w:top w:val="single" w:color="1A335C" w:sz="1"/>
              <w:left w:val="single" w:color="1A335C" w:sz="1"/>
              <w:bottom w:val="single" w:color="1A335C" w:sz="1"/>
              <w:right w:val="single" w:color="1A335C" w:sz="1"/>
            </w:tcBorders>
            <w:shd w:fill="FFFFFF" w:val="clear"/>
            <w:tcMar>
              <w:top w:type="dxa" w:w="80"/>
              <w:left w:type="dxa" w:w="120"/>
              <w:bottom w:type="dxa" w:w="80"/>
              <w:right w:type="dxa" w:w="120"/>
            </w:tcMar>
          </w:tcPr>
          <w:p>
            <w:r>
              <w:rPr>
                <w:rFonts w:ascii="Inter" w:cs="Inter" w:eastAsia="Inter" w:hAnsi="Inter"/>
                <w:color w:val="334155"/>
                <w:sz w:val="20"/>
                <w:szCs w:val="20"/>
              </w:rPr>
              <w:t xml:space="preserve">2</w:t>
            </w:r>
          </w:p>
        </w:tc>
        <w:tc>
          <w:tcPr>
            <w:tcW w:type="dxa" w:w="1800"/>
            <w:tcBorders>
              <w:top w:val="single" w:color="1A335C" w:sz="1"/>
              <w:left w:val="single" w:color="1A335C" w:sz="1"/>
              <w:bottom w:val="single" w:color="1A335C" w:sz="1"/>
              <w:right w:val="single" w:color="1A335C" w:sz="1"/>
            </w:tcBorders>
            <w:shd w:fill="FFFFFF" w:val="clear"/>
            <w:tcMar>
              <w:top w:type="dxa" w:w="80"/>
              <w:left w:type="dxa" w:w="120"/>
              <w:bottom w:type="dxa" w:w="80"/>
              <w:right w:type="dxa" w:w="120"/>
            </w:tcMar>
          </w:tcPr>
          <w:p>
            <w:r>
              <w:rPr>
                <w:rFonts w:ascii="Inter" w:cs="Inter" w:eastAsia="Inter" w:hAnsi="Inter"/>
                <w:color w:val="334155"/>
                <w:sz w:val="20"/>
                <w:szCs w:val="20"/>
              </w:rPr>
              <w:t xml:space="preserve">Infra Lista</w:t>
            </w:r>
          </w:p>
        </w:tc>
        <w:tc>
          <w:tcPr>
            <w:tcW w:type="dxa" w:w="6160"/>
            <w:tcBorders>
              <w:top w:val="single" w:color="1A335C" w:sz="1"/>
              <w:left w:val="single" w:color="1A335C" w:sz="1"/>
              <w:bottom w:val="single" w:color="1A335C" w:sz="1"/>
              <w:right w:val="single" w:color="1A335C" w:sz="1"/>
            </w:tcBorders>
            <w:shd w:fill="FFFFFF" w:val="clear"/>
            <w:tcMar>
              <w:top w:type="dxa" w:w="80"/>
              <w:left w:type="dxa" w:w="120"/>
              <w:bottom w:type="dxa" w:w="80"/>
              <w:right w:type="dxa" w:w="120"/>
            </w:tcMar>
          </w:tcPr>
          <w:p>
            <w:r>
              <w:rPr>
                <w:rFonts w:ascii="Inter" w:cs="Inter" w:eastAsia="Inter" w:hAnsi="Inter"/>
                <w:color w:val="334155"/>
                <w:sz w:val="20"/>
                <w:szCs w:val="20"/>
              </w:rPr>
              <w:t xml:space="preserve">Todos los ambientes responden 200 en healthcheck. Schema reproducible.</w:t>
            </w:r>
          </w:p>
        </w:tc>
      </w:tr>
      <w:tr>
        <w:tc>
          <w:tcPr>
            <w:tcW w:type="dxa" w:w="1400"/>
            <w:tcBorders>
              <w:top w:val="single" w:color="1A335C" w:sz="1"/>
              <w:left w:val="single" w:color="1A335C" w:sz="1"/>
              <w:bottom w:val="single" w:color="1A335C" w:sz="1"/>
              <w:right w:val="single" w:color="1A335C" w:sz="1"/>
            </w:tcBorders>
            <w:shd w:fill="EAF6F4" w:val="clear"/>
            <w:tcMar>
              <w:top w:type="dxa" w:w="80"/>
              <w:left w:type="dxa" w:w="120"/>
              <w:bottom w:type="dxa" w:w="80"/>
              <w:right w:type="dxa" w:w="120"/>
            </w:tcMar>
          </w:tcPr>
          <w:p>
            <w:r>
              <w:rPr>
                <w:rFonts w:ascii="Inter" w:cs="Inter" w:eastAsia="Inter" w:hAnsi="Inter"/>
                <w:color w:val="334155"/>
                <w:sz w:val="20"/>
                <w:szCs w:val="20"/>
              </w:rPr>
              <w:t xml:space="preserve">4</w:t>
            </w:r>
          </w:p>
        </w:tc>
        <w:tc>
          <w:tcPr>
            <w:tcW w:type="dxa" w:w="1800"/>
            <w:tcBorders>
              <w:top w:val="single" w:color="1A335C" w:sz="1"/>
              <w:left w:val="single" w:color="1A335C" w:sz="1"/>
              <w:bottom w:val="single" w:color="1A335C" w:sz="1"/>
              <w:right w:val="single" w:color="1A335C" w:sz="1"/>
            </w:tcBorders>
            <w:shd w:fill="EAF6F4" w:val="clear"/>
            <w:tcMar>
              <w:top w:type="dxa" w:w="80"/>
              <w:left w:type="dxa" w:w="120"/>
              <w:bottom w:type="dxa" w:w="80"/>
              <w:right w:type="dxa" w:w="120"/>
            </w:tcMar>
          </w:tcPr>
          <w:p>
            <w:r>
              <w:rPr>
                <w:rFonts w:ascii="Inter" w:cs="Inter" w:eastAsia="Inter" w:hAnsi="Inter"/>
                <w:color w:val="334155"/>
                <w:sz w:val="20"/>
                <w:szCs w:val="20"/>
              </w:rPr>
              <w:t xml:space="preserve">Login Vivo</w:t>
            </w:r>
          </w:p>
        </w:tc>
        <w:tc>
          <w:tcPr>
            <w:tcW w:type="dxa" w:w="6160"/>
            <w:tcBorders>
              <w:top w:val="single" w:color="1A335C" w:sz="1"/>
              <w:left w:val="single" w:color="1A335C" w:sz="1"/>
              <w:bottom w:val="single" w:color="1A335C" w:sz="1"/>
              <w:right w:val="single" w:color="1A335C" w:sz="1"/>
            </w:tcBorders>
            <w:shd w:fill="EAF6F4" w:val="clear"/>
            <w:tcMar>
              <w:top w:type="dxa" w:w="80"/>
              <w:left w:type="dxa" w:w="120"/>
              <w:bottom w:type="dxa" w:w="80"/>
              <w:right w:type="dxa" w:w="120"/>
            </w:tcMar>
          </w:tcPr>
          <w:p>
            <w:r>
              <w:rPr>
                <w:rFonts w:ascii="Inter" w:cs="Inter" w:eastAsia="Inter" w:hAnsi="Inter"/>
                <w:color w:val="334155"/>
                <w:sz w:val="20"/>
                <w:szCs w:val="20"/>
              </w:rPr>
              <w:t xml:space="preserve">Operario real puede autenticarse en dispositivo Android de prueba.</w:t>
            </w:r>
          </w:p>
        </w:tc>
      </w:tr>
      <w:tr>
        <w:tc>
          <w:tcPr>
            <w:tcW w:type="dxa" w:w="1400"/>
            <w:tcBorders>
              <w:top w:val="single" w:color="1A335C" w:sz="1"/>
              <w:left w:val="single" w:color="1A335C" w:sz="1"/>
              <w:bottom w:val="single" w:color="1A335C" w:sz="1"/>
              <w:right w:val="single" w:color="1A335C" w:sz="1"/>
            </w:tcBorders>
            <w:shd w:fill="FFFFFF" w:val="clear"/>
            <w:tcMar>
              <w:top w:type="dxa" w:w="80"/>
              <w:left w:type="dxa" w:w="120"/>
              <w:bottom w:type="dxa" w:w="80"/>
              <w:right w:type="dxa" w:w="120"/>
            </w:tcMar>
          </w:tcPr>
          <w:p>
            <w:r>
              <w:rPr>
                <w:rFonts w:ascii="Inter" w:cs="Inter" w:eastAsia="Inter" w:hAnsi="Inter"/>
                <w:color w:val="334155"/>
                <w:sz w:val="20"/>
                <w:szCs w:val="20"/>
              </w:rPr>
              <w:t xml:space="preserve">6</w:t>
            </w:r>
          </w:p>
        </w:tc>
        <w:tc>
          <w:tcPr>
            <w:tcW w:type="dxa" w:w="1800"/>
            <w:tcBorders>
              <w:top w:val="single" w:color="1A335C" w:sz="1"/>
              <w:left w:val="single" w:color="1A335C" w:sz="1"/>
              <w:bottom w:val="single" w:color="1A335C" w:sz="1"/>
              <w:right w:val="single" w:color="1A335C" w:sz="1"/>
            </w:tcBorders>
            <w:shd w:fill="FFFFFF" w:val="clear"/>
            <w:tcMar>
              <w:top w:type="dxa" w:w="80"/>
              <w:left w:type="dxa" w:w="120"/>
              <w:bottom w:type="dxa" w:w="80"/>
              <w:right w:type="dxa" w:w="120"/>
            </w:tcMar>
          </w:tcPr>
          <w:p>
            <w:r>
              <w:rPr>
                <w:rFonts w:ascii="Inter" w:cs="Inter" w:eastAsia="Inter" w:hAnsi="Inter"/>
                <w:color w:val="334155"/>
                <w:sz w:val="20"/>
                <w:szCs w:val="20"/>
              </w:rPr>
              <w:t xml:space="preserve">Primer Registro</w:t>
            </w:r>
          </w:p>
        </w:tc>
        <w:tc>
          <w:tcPr>
            <w:tcW w:type="dxa" w:w="6160"/>
            <w:tcBorders>
              <w:top w:val="single" w:color="1A335C" w:sz="1"/>
              <w:left w:val="single" w:color="1A335C" w:sz="1"/>
              <w:bottom w:val="single" w:color="1A335C" w:sz="1"/>
              <w:right w:val="single" w:color="1A335C" w:sz="1"/>
            </w:tcBorders>
            <w:shd w:fill="FFFFFF" w:val="clear"/>
            <w:tcMar>
              <w:top w:type="dxa" w:w="80"/>
              <w:left w:type="dxa" w:w="120"/>
              <w:bottom w:type="dxa" w:w="80"/>
              <w:right w:type="dxa" w:w="120"/>
            </w:tcMar>
          </w:tcPr>
          <w:p>
            <w:r>
              <w:rPr>
                <w:rFonts w:ascii="Inter" w:cs="Inter" w:eastAsia="Inter" w:hAnsi="Inter"/>
                <w:color w:val="334155"/>
                <w:sz w:val="20"/>
                <w:szCs w:val="20"/>
              </w:rPr>
              <w:t xml:space="preserve">Primer registro de calidad de agua sincronizado end-to-end.</w:t>
            </w:r>
          </w:p>
        </w:tc>
      </w:tr>
      <w:tr>
        <w:tc>
          <w:tcPr>
            <w:tcW w:type="dxa" w:w="1400"/>
            <w:tcBorders>
              <w:top w:val="single" w:color="1A335C" w:sz="1"/>
              <w:left w:val="single" w:color="1A335C" w:sz="1"/>
              <w:bottom w:val="single" w:color="1A335C" w:sz="1"/>
              <w:right w:val="single" w:color="1A335C" w:sz="1"/>
            </w:tcBorders>
            <w:shd w:fill="EAF6F4" w:val="clear"/>
            <w:tcMar>
              <w:top w:type="dxa" w:w="80"/>
              <w:left w:type="dxa" w:w="120"/>
              <w:bottom w:type="dxa" w:w="80"/>
              <w:right w:type="dxa" w:w="120"/>
            </w:tcMar>
          </w:tcPr>
          <w:p>
            <w:r>
              <w:rPr>
                <w:rFonts w:ascii="Inter" w:cs="Inter" w:eastAsia="Inter" w:hAnsi="Inter"/>
                <w:color w:val="334155"/>
                <w:sz w:val="20"/>
                <w:szCs w:val="20"/>
              </w:rPr>
              <w:t xml:space="preserve">8</w:t>
            </w:r>
          </w:p>
        </w:tc>
        <w:tc>
          <w:tcPr>
            <w:tcW w:type="dxa" w:w="1800"/>
            <w:tcBorders>
              <w:top w:val="single" w:color="1A335C" w:sz="1"/>
              <w:left w:val="single" w:color="1A335C" w:sz="1"/>
              <w:bottom w:val="single" w:color="1A335C" w:sz="1"/>
              <w:right w:val="single" w:color="1A335C" w:sz="1"/>
            </w:tcBorders>
            <w:shd w:fill="EAF6F4" w:val="clear"/>
            <w:tcMar>
              <w:top w:type="dxa" w:w="80"/>
              <w:left w:type="dxa" w:w="120"/>
              <w:bottom w:type="dxa" w:w="80"/>
              <w:right w:type="dxa" w:w="120"/>
            </w:tcMar>
          </w:tcPr>
          <w:p>
            <w:r>
              <w:rPr>
                <w:rFonts w:ascii="Inter" w:cs="Inter" w:eastAsia="Inter" w:hAnsi="Inter"/>
                <w:color w:val="334155"/>
                <w:sz w:val="20"/>
                <w:szCs w:val="20"/>
              </w:rPr>
              <w:t xml:space="preserve">Biomasa Funcional</w:t>
            </w:r>
          </w:p>
        </w:tc>
        <w:tc>
          <w:tcPr>
            <w:tcW w:type="dxa" w:w="6160"/>
            <w:tcBorders>
              <w:top w:val="single" w:color="1A335C" w:sz="1"/>
              <w:left w:val="single" w:color="1A335C" w:sz="1"/>
              <w:bottom w:val="single" w:color="1A335C" w:sz="1"/>
              <w:right w:val="single" w:color="1A335C" w:sz="1"/>
            </w:tcBorders>
            <w:shd w:fill="EAF6F4" w:val="clear"/>
            <w:tcMar>
              <w:top w:type="dxa" w:w="80"/>
              <w:left w:type="dxa" w:w="120"/>
              <w:bottom w:type="dxa" w:w="80"/>
              <w:right w:type="dxa" w:w="120"/>
            </w:tcMar>
          </w:tcPr>
          <w:p>
            <w:r>
              <w:rPr>
                <w:rFonts w:ascii="Inter" w:cs="Inter" w:eastAsia="Inter" w:hAnsi="Inter"/>
                <w:color w:val="334155"/>
                <w:sz w:val="20"/>
                <w:szCs w:val="20"/>
              </w:rPr>
              <w:t xml:space="preserve">Hard Limit de alimentación funcionando con datos reales de muestreo.</w:t>
            </w:r>
          </w:p>
        </w:tc>
      </w:tr>
      <w:tr>
        <w:tc>
          <w:tcPr>
            <w:tcW w:type="dxa" w:w="1400"/>
            <w:tcBorders>
              <w:top w:val="single" w:color="1A335C" w:sz="1"/>
              <w:left w:val="single" w:color="1A335C" w:sz="1"/>
              <w:bottom w:val="single" w:color="1A335C" w:sz="1"/>
              <w:right w:val="single" w:color="1A335C" w:sz="1"/>
            </w:tcBorders>
            <w:shd w:fill="FFFFFF" w:val="clear"/>
            <w:tcMar>
              <w:top w:type="dxa" w:w="80"/>
              <w:left w:type="dxa" w:w="120"/>
              <w:bottom w:type="dxa" w:w="80"/>
              <w:right w:type="dxa" w:w="120"/>
            </w:tcMar>
          </w:tcPr>
          <w:p>
            <w:r>
              <w:rPr>
                <w:rFonts w:ascii="Inter" w:cs="Inter" w:eastAsia="Inter" w:hAnsi="Inter"/>
                <w:color w:val="334155"/>
                <w:sz w:val="20"/>
                <w:szCs w:val="20"/>
              </w:rPr>
              <w:t xml:space="preserve">10</w:t>
            </w:r>
          </w:p>
        </w:tc>
        <w:tc>
          <w:tcPr>
            <w:tcW w:type="dxa" w:w="1800"/>
            <w:tcBorders>
              <w:top w:val="single" w:color="1A335C" w:sz="1"/>
              <w:left w:val="single" w:color="1A335C" w:sz="1"/>
              <w:bottom w:val="single" w:color="1A335C" w:sz="1"/>
              <w:right w:val="single" w:color="1A335C" w:sz="1"/>
            </w:tcBorders>
            <w:shd w:fill="FFFFFF" w:val="clear"/>
            <w:tcMar>
              <w:top w:type="dxa" w:w="80"/>
              <w:left w:type="dxa" w:w="120"/>
              <w:bottom w:type="dxa" w:w="80"/>
              <w:right w:type="dxa" w:w="120"/>
            </w:tcMar>
          </w:tcPr>
          <w:p>
            <w:r>
              <w:rPr>
                <w:rFonts w:ascii="Inter" w:cs="Inter" w:eastAsia="Inter" w:hAnsi="Inter"/>
                <w:color w:val="334155"/>
                <w:sz w:val="20"/>
                <w:szCs w:val="20"/>
              </w:rPr>
              <w:t xml:space="preserve">Sync Robusto</w:t>
            </w:r>
          </w:p>
        </w:tc>
        <w:tc>
          <w:tcPr>
            <w:tcW w:type="dxa" w:w="6160"/>
            <w:tcBorders>
              <w:top w:val="single" w:color="1A335C" w:sz="1"/>
              <w:left w:val="single" w:color="1A335C" w:sz="1"/>
              <w:bottom w:val="single" w:color="1A335C" w:sz="1"/>
              <w:right w:val="single" w:color="1A335C" w:sz="1"/>
            </w:tcBorders>
            <w:shd w:fill="FFFFFF" w:val="clear"/>
            <w:tcMar>
              <w:top w:type="dxa" w:w="80"/>
              <w:left w:type="dxa" w:w="120"/>
              <w:bottom w:type="dxa" w:w="80"/>
              <w:right w:type="dxa" w:w="120"/>
            </w:tcMar>
          </w:tcPr>
          <w:p>
            <w:r>
              <w:rPr>
                <w:rFonts w:ascii="Inter" w:cs="Inter" w:eastAsia="Inter" w:hAnsi="Inter"/>
                <w:color w:val="334155"/>
                <w:sz w:val="20"/>
                <w:szCs w:val="20"/>
              </w:rPr>
              <w:t xml:space="preserve">Test de concurrencia CRDT pasa al 100% con dispositivos físicos.</w:t>
            </w:r>
          </w:p>
        </w:tc>
      </w:tr>
      <w:tr>
        <w:tc>
          <w:tcPr>
            <w:tcW w:type="dxa" w:w="1400"/>
            <w:tcBorders>
              <w:top w:val="single" w:color="1A335C" w:sz="1"/>
              <w:left w:val="single" w:color="1A335C" w:sz="1"/>
              <w:bottom w:val="single" w:color="1A335C" w:sz="1"/>
              <w:right w:val="single" w:color="1A335C" w:sz="1"/>
            </w:tcBorders>
            <w:shd w:fill="EAF6F4" w:val="clear"/>
            <w:tcMar>
              <w:top w:type="dxa" w:w="80"/>
              <w:left w:type="dxa" w:w="120"/>
              <w:bottom w:type="dxa" w:w="80"/>
              <w:right w:type="dxa" w:w="120"/>
            </w:tcMar>
          </w:tcPr>
          <w:p>
            <w:r>
              <w:rPr>
                <w:rFonts w:ascii="Inter" w:cs="Inter" w:eastAsia="Inter" w:hAnsi="Inter"/>
                <w:color w:val="334155"/>
                <w:sz w:val="20"/>
                <w:szCs w:val="20"/>
              </w:rPr>
              <w:t xml:space="preserve">12</w:t>
            </w:r>
          </w:p>
        </w:tc>
        <w:tc>
          <w:tcPr>
            <w:tcW w:type="dxa" w:w="1800"/>
            <w:tcBorders>
              <w:top w:val="single" w:color="1A335C" w:sz="1"/>
              <w:left w:val="single" w:color="1A335C" w:sz="1"/>
              <w:bottom w:val="single" w:color="1A335C" w:sz="1"/>
              <w:right w:val="single" w:color="1A335C" w:sz="1"/>
            </w:tcBorders>
            <w:shd w:fill="EAF6F4" w:val="clear"/>
            <w:tcMar>
              <w:top w:type="dxa" w:w="80"/>
              <w:left w:type="dxa" w:w="120"/>
              <w:bottom w:type="dxa" w:w="80"/>
              <w:right w:type="dxa" w:w="120"/>
            </w:tcMar>
          </w:tcPr>
          <w:p>
            <w:r>
              <w:rPr>
                <w:rFonts w:ascii="Inter" w:cs="Inter" w:eastAsia="Inter" w:hAnsi="Inter"/>
                <w:color w:val="334155"/>
                <w:sz w:val="20"/>
                <w:szCs w:val="20"/>
              </w:rPr>
              <w:t xml:space="preserve">Compliance Completo</w:t>
            </w:r>
          </w:p>
        </w:tc>
        <w:tc>
          <w:tcPr>
            <w:tcW w:type="dxa" w:w="6160"/>
            <w:tcBorders>
              <w:top w:val="single" w:color="1A335C" w:sz="1"/>
              <w:left w:val="single" w:color="1A335C" w:sz="1"/>
              <w:bottom w:val="single" w:color="1A335C" w:sz="1"/>
              <w:right w:val="single" w:color="1A335C" w:sz="1"/>
            </w:tcBorders>
            <w:shd w:fill="EAF6F4" w:val="clear"/>
            <w:tcMar>
              <w:top w:type="dxa" w:w="80"/>
              <w:left w:type="dxa" w:w="120"/>
              <w:bottom w:type="dxa" w:w="80"/>
              <w:right w:type="dxa" w:w="120"/>
            </w:tcMar>
          </w:tcPr>
          <w:p>
            <w:r>
              <w:rPr>
                <w:rFonts w:ascii="Inter" w:cs="Inter" w:eastAsia="Inter" w:hAnsi="Inter"/>
                <w:color w:val="334155"/>
                <w:sz w:val="20"/>
                <w:szCs w:val="20"/>
              </w:rPr>
              <w:t xml:space="preserve">Demo a un Médico Veterinario Acuícola del flujo de trazabilidad.</w:t>
            </w:r>
          </w:p>
        </w:tc>
      </w:tr>
      <w:tr>
        <w:tc>
          <w:tcPr>
            <w:tcW w:type="dxa" w:w="1400"/>
            <w:tcBorders>
              <w:top w:val="single" w:color="1A335C" w:sz="1"/>
              <w:left w:val="single" w:color="1A335C" w:sz="1"/>
              <w:bottom w:val="single" w:color="1A335C" w:sz="1"/>
              <w:right w:val="single" w:color="1A335C" w:sz="1"/>
            </w:tcBorders>
            <w:shd w:fill="FFFFFF" w:val="clear"/>
            <w:tcMar>
              <w:top w:type="dxa" w:w="80"/>
              <w:left w:type="dxa" w:w="120"/>
              <w:bottom w:type="dxa" w:w="80"/>
              <w:right w:type="dxa" w:w="120"/>
            </w:tcMar>
          </w:tcPr>
          <w:p>
            <w:r>
              <w:rPr>
                <w:rFonts w:ascii="Inter" w:cs="Inter" w:eastAsia="Inter" w:hAnsi="Inter"/>
                <w:color w:val="334155"/>
                <w:sz w:val="20"/>
                <w:szCs w:val="20"/>
              </w:rPr>
              <w:t xml:space="preserve">14</w:t>
            </w:r>
          </w:p>
        </w:tc>
        <w:tc>
          <w:tcPr>
            <w:tcW w:type="dxa" w:w="1800"/>
            <w:tcBorders>
              <w:top w:val="single" w:color="1A335C" w:sz="1"/>
              <w:left w:val="single" w:color="1A335C" w:sz="1"/>
              <w:bottom w:val="single" w:color="1A335C" w:sz="1"/>
              <w:right w:val="single" w:color="1A335C" w:sz="1"/>
            </w:tcBorders>
            <w:shd w:fill="FFFFFF" w:val="clear"/>
            <w:tcMar>
              <w:top w:type="dxa" w:w="80"/>
              <w:left w:type="dxa" w:w="120"/>
              <w:bottom w:type="dxa" w:w="80"/>
              <w:right w:type="dxa" w:w="120"/>
            </w:tcMar>
          </w:tcPr>
          <w:p>
            <w:r>
              <w:rPr>
                <w:rFonts w:ascii="Inter" w:cs="Inter" w:eastAsia="Inter" w:hAnsi="Inter"/>
                <w:color w:val="334155"/>
                <w:sz w:val="20"/>
                <w:szCs w:val="20"/>
              </w:rPr>
              <w:t xml:space="preserve">MVP Listo</w:t>
            </w:r>
          </w:p>
        </w:tc>
        <w:tc>
          <w:tcPr>
            <w:tcW w:type="dxa" w:w="6160"/>
            <w:tcBorders>
              <w:top w:val="single" w:color="1A335C" w:sz="1"/>
              <w:left w:val="single" w:color="1A335C" w:sz="1"/>
              <w:bottom w:val="single" w:color="1A335C" w:sz="1"/>
              <w:right w:val="single" w:color="1A335C" w:sz="1"/>
            </w:tcBorders>
            <w:shd w:fill="FFFFFF" w:val="clear"/>
            <w:tcMar>
              <w:top w:type="dxa" w:w="80"/>
              <w:left w:type="dxa" w:w="120"/>
              <w:bottom w:type="dxa" w:w="80"/>
              <w:right w:type="dxa" w:w="120"/>
            </w:tcMar>
          </w:tcPr>
          <w:p>
            <w:r>
              <w:rPr>
                <w:rFonts w:ascii="Inter" w:cs="Inter" w:eastAsia="Inter" w:hAnsi="Inter"/>
                <w:color w:val="334155"/>
                <w:sz w:val="20"/>
                <w:szCs w:val="20"/>
              </w:rPr>
              <w:t xml:space="preserve">Aplicación instalable y funcional en granja piloto. Inicia validación TRL 4.</w:t>
            </w:r>
          </w:p>
        </w:tc>
      </w:tr>
    </w:tbl>
    <w:p>
      <w:pPr>
        <w:spacing w:after="120" w:before="120"/>
      </w:pPr>
      <w:r>
        <w:t xml:space="preserve"/>
      </w:r>
    </w:p>
    <w:p>
      <w:pPr>
        <w:pStyle w:val="Heading1"/>
        <w:pBdr>
          <w:bottom w:val="single" w:color="45C4B0" w:sz="8" w:space="4"/>
        </w:pBdr>
        <w:spacing w:after="160" w:before="360"/>
      </w:pPr>
      <w:r>
        <w:rPr>
          <w:rFonts w:ascii="Montserrat" w:cs="Montserrat" w:eastAsia="Montserrat" w:hAnsi="Montserrat"/>
          <w:b/>
          <w:bCs/>
          <w:color w:val="1A335C"/>
          <w:sz w:val="32"/>
          <w:szCs w:val="32"/>
        </w:rPr>
        <w:t xml:space="preserve">5. Equipo Mínimo Requerido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500"/>
        <w:gridCol w:w="5060"/>
      </w:tblGrid>
      <w:tr>
        <w:trPr>
          <w:tblHeader/>
        </w:trPr>
        <w:tc>
          <w:tcPr>
            <w:tcW w:type="dxa" w:w="2800"/>
            <w:tcBorders>
              <w:top w:val="single" w:color="1A335C" w:sz="1"/>
              <w:left w:val="single" w:color="1A335C" w:sz="1"/>
              <w:bottom w:val="single" w:color="1A335C" w:sz="1"/>
              <w:right w:val="single" w:color="1A335C" w:sz="1"/>
            </w:tcBorders>
            <w:shd w:fill="1A335C" w:val="clear"/>
            <w:tcMar>
              <w:top w:type="dxa" w:w="80"/>
              <w:left w:type="dxa" w:w="120"/>
              <w:bottom w:type="dxa" w:w="80"/>
              <w:right w:type="dxa" w:w="120"/>
            </w:tcMar>
          </w:tcPr>
          <w:p>
            <w:pPr>
              <w:jc w:val="center"/>
            </w:pPr>
            <w:r>
              <w:rPr>
                <w:rFonts w:ascii="Montserrat" w:cs="Montserrat" w:eastAsia="Montserrat" w:hAnsi="Montserrat"/>
                <w:b/>
                <w:bCs/>
                <w:color w:val="FFFFFF"/>
                <w:sz w:val="20"/>
                <w:szCs w:val="20"/>
              </w:rPr>
              <w:t xml:space="preserve">Rol</w:t>
            </w:r>
          </w:p>
        </w:tc>
        <w:tc>
          <w:tcPr>
            <w:tcW w:type="dxa" w:w="1500"/>
            <w:tcBorders>
              <w:top w:val="single" w:color="1A335C" w:sz="1"/>
              <w:left w:val="single" w:color="1A335C" w:sz="1"/>
              <w:bottom w:val="single" w:color="1A335C" w:sz="1"/>
              <w:right w:val="single" w:color="1A335C" w:sz="1"/>
            </w:tcBorders>
            <w:shd w:fill="1A335C" w:val="clear"/>
            <w:tcMar>
              <w:top w:type="dxa" w:w="80"/>
              <w:left w:type="dxa" w:w="120"/>
              <w:bottom w:type="dxa" w:w="80"/>
              <w:right w:type="dxa" w:w="120"/>
            </w:tcMar>
          </w:tcPr>
          <w:p>
            <w:pPr>
              <w:jc w:val="center"/>
            </w:pPr>
            <w:r>
              <w:rPr>
                <w:rFonts w:ascii="Montserrat" w:cs="Montserrat" w:eastAsia="Montserrat" w:hAnsi="Montserrat"/>
                <w:b/>
                <w:bCs/>
                <w:color w:val="FFFFFF"/>
                <w:sz w:val="20"/>
                <w:szCs w:val="20"/>
              </w:rPr>
              <w:t xml:space="preserve">FTE</w:t>
            </w:r>
          </w:p>
        </w:tc>
        <w:tc>
          <w:tcPr>
            <w:tcW w:type="dxa" w:w="5060"/>
            <w:tcBorders>
              <w:top w:val="single" w:color="1A335C" w:sz="1"/>
              <w:left w:val="single" w:color="1A335C" w:sz="1"/>
              <w:bottom w:val="single" w:color="1A335C" w:sz="1"/>
              <w:right w:val="single" w:color="1A335C" w:sz="1"/>
            </w:tcBorders>
            <w:shd w:fill="1A335C" w:val="clear"/>
            <w:tcMar>
              <w:top w:type="dxa" w:w="80"/>
              <w:left w:type="dxa" w:w="120"/>
              <w:bottom w:type="dxa" w:w="80"/>
              <w:right w:type="dxa" w:w="120"/>
            </w:tcMar>
          </w:tcPr>
          <w:p>
            <w:pPr>
              <w:jc w:val="center"/>
            </w:pPr>
            <w:r>
              <w:rPr>
                <w:rFonts w:ascii="Montserrat" w:cs="Montserrat" w:eastAsia="Montserrat" w:hAnsi="Montserrat"/>
                <w:b/>
                <w:bCs/>
                <w:color w:val="FFFFFF"/>
                <w:sz w:val="20"/>
                <w:szCs w:val="20"/>
              </w:rPr>
              <w:t xml:space="preserve">Responsabilidad principal</w:t>
            </w:r>
          </w:p>
        </w:tc>
      </w:tr>
      <w:tr>
        <w:tc>
          <w:tcPr>
            <w:tcW w:type="dxa" w:w="2800"/>
            <w:tcBorders>
              <w:top w:val="single" w:color="1A335C" w:sz="1"/>
              <w:left w:val="single" w:color="1A335C" w:sz="1"/>
              <w:bottom w:val="single" w:color="1A335C" w:sz="1"/>
              <w:right w:val="single" w:color="1A335C" w:sz="1"/>
            </w:tcBorders>
            <w:shd w:fill="FFFFFF" w:val="clear"/>
            <w:tcMar>
              <w:top w:type="dxa" w:w="80"/>
              <w:left w:type="dxa" w:w="120"/>
              <w:bottom w:type="dxa" w:w="80"/>
              <w:right w:type="dxa" w:w="120"/>
            </w:tcMar>
          </w:tcPr>
          <w:p>
            <w:r>
              <w:rPr>
                <w:rFonts w:ascii="Inter" w:cs="Inter" w:eastAsia="Inter" w:hAnsi="Inter"/>
                <w:color w:val="334155"/>
                <w:sz w:val="20"/>
                <w:szCs w:val="20"/>
              </w:rPr>
              <w:t xml:space="preserve">Líder Técnico (Full-Stack)</w:t>
            </w:r>
          </w:p>
        </w:tc>
        <w:tc>
          <w:tcPr>
            <w:tcW w:type="dxa" w:w="1500"/>
            <w:tcBorders>
              <w:top w:val="single" w:color="1A335C" w:sz="1"/>
              <w:left w:val="single" w:color="1A335C" w:sz="1"/>
              <w:bottom w:val="single" w:color="1A335C" w:sz="1"/>
              <w:right w:val="single" w:color="1A335C" w:sz="1"/>
            </w:tcBorders>
            <w:shd w:fill="FFFFFF" w:val="clear"/>
            <w:tcMar>
              <w:top w:type="dxa" w:w="80"/>
              <w:left w:type="dxa" w:w="120"/>
              <w:bottom w:type="dxa" w:w="80"/>
              <w:right w:type="dxa" w:w="120"/>
            </w:tcMar>
          </w:tcPr>
          <w:p>
            <w:r>
              <w:rPr>
                <w:rFonts w:ascii="Inter" w:cs="Inter" w:eastAsia="Inter" w:hAnsi="Inter"/>
                <w:color w:val="334155"/>
                <w:sz w:val="20"/>
                <w:szCs w:val="20"/>
              </w:rPr>
              <w:t xml:space="preserve">1.0</w:t>
            </w:r>
          </w:p>
        </w:tc>
        <w:tc>
          <w:tcPr>
            <w:tcW w:type="dxa" w:w="5060"/>
            <w:tcBorders>
              <w:top w:val="single" w:color="1A335C" w:sz="1"/>
              <w:left w:val="single" w:color="1A335C" w:sz="1"/>
              <w:bottom w:val="single" w:color="1A335C" w:sz="1"/>
              <w:right w:val="single" w:color="1A335C" w:sz="1"/>
            </w:tcBorders>
            <w:shd w:fill="FFFFFF" w:val="clear"/>
            <w:tcMar>
              <w:top w:type="dxa" w:w="80"/>
              <w:left w:type="dxa" w:w="120"/>
              <w:bottom w:type="dxa" w:w="80"/>
              <w:right w:type="dxa" w:w="120"/>
            </w:tcMar>
          </w:tcPr>
          <w:p>
            <w:r>
              <w:rPr>
                <w:rFonts w:ascii="Inter" w:cs="Inter" w:eastAsia="Inter" w:hAnsi="Inter"/>
                <w:color w:val="334155"/>
                <w:sz w:val="20"/>
                <w:szCs w:val="20"/>
              </w:rPr>
              <w:t xml:space="preserve">Arquitectura, code review, decisiones técnicas escalables.</w:t>
            </w:r>
          </w:p>
        </w:tc>
      </w:tr>
      <w:tr>
        <w:tc>
          <w:tcPr>
            <w:tcW w:type="dxa" w:w="2800"/>
            <w:tcBorders>
              <w:top w:val="single" w:color="1A335C" w:sz="1"/>
              <w:left w:val="single" w:color="1A335C" w:sz="1"/>
              <w:bottom w:val="single" w:color="1A335C" w:sz="1"/>
              <w:right w:val="single" w:color="1A335C" w:sz="1"/>
            </w:tcBorders>
            <w:shd w:fill="EAF6F4" w:val="clear"/>
            <w:tcMar>
              <w:top w:type="dxa" w:w="80"/>
              <w:left w:type="dxa" w:w="120"/>
              <w:bottom w:type="dxa" w:w="80"/>
              <w:right w:type="dxa" w:w="120"/>
            </w:tcMar>
          </w:tcPr>
          <w:p>
            <w:r>
              <w:rPr>
                <w:rFonts w:ascii="Inter" w:cs="Inter" w:eastAsia="Inter" w:hAnsi="Inter"/>
                <w:color w:val="334155"/>
                <w:sz w:val="20"/>
                <w:szCs w:val="20"/>
              </w:rPr>
              <w:t xml:space="preserve">Backend Senior (Python/FastAPI)</w:t>
            </w:r>
          </w:p>
        </w:tc>
        <w:tc>
          <w:tcPr>
            <w:tcW w:type="dxa" w:w="1500"/>
            <w:tcBorders>
              <w:top w:val="single" w:color="1A335C" w:sz="1"/>
              <w:left w:val="single" w:color="1A335C" w:sz="1"/>
              <w:bottom w:val="single" w:color="1A335C" w:sz="1"/>
              <w:right w:val="single" w:color="1A335C" w:sz="1"/>
            </w:tcBorders>
            <w:shd w:fill="EAF6F4" w:val="clear"/>
            <w:tcMar>
              <w:top w:type="dxa" w:w="80"/>
              <w:left w:type="dxa" w:w="120"/>
              <w:bottom w:type="dxa" w:w="80"/>
              <w:right w:type="dxa" w:w="120"/>
            </w:tcMar>
          </w:tcPr>
          <w:p>
            <w:r>
              <w:rPr>
                <w:rFonts w:ascii="Inter" w:cs="Inter" w:eastAsia="Inter" w:hAnsi="Inter"/>
                <w:color w:val="334155"/>
                <w:sz w:val="20"/>
                <w:szCs w:val="20"/>
              </w:rPr>
              <w:t xml:space="preserve">1.0</w:t>
            </w:r>
          </w:p>
        </w:tc>
        <w:tc>
          <w:tcPr>
            <w:tcW w:type="dxa" w:w="5060"/>
            <w:tcBorders>
              <w:top w:val="single" w:color="1A335C" w:sz="1"/>
              <w:left w:val="single" w:color="1A335C" w:sz="1"/>
              <w:bottom w:val="single" w:color="1A335C" w:sz="1"/>
              <w:right w:val="single" w:color="1A335C" w:sz="1"/>
            </w:tcBorders>
            <w:shd w:fill="EAF6F4" w:val="clear"/>
            <w:tcMar>
              <w:top w:type="dxa" w:w="80"/>
              <w:left w:type="dxa" w:w="120"/>
              <w:bottom w:type="dxa" w:w="80"/>
              <w:right w:type="dxa" w:w="120"/>
            </w:tcMar>
          </w:tcPr>
          <w:p>
            <w:r>
              <w:rPr>
                <w:rFonts w:ascii="Inter" w:cs="Inter" w:eastAsia="Inter" w:hAnsi="Inter"/>
                <w:color w:val="334155"/>
                <w:sz w:val="20"/>
                <w:szCs w:val="20"/>
              </w:rPr>
              <w:t xml:space="preserve">API, CRDT, RBAC, migraciones, observabilidad.</w:t>
            </w:r>
          </w:p>
        </w:tc>
      </w:tr>
      <w:tr>
        <w:tc>
          <w:tcPr>
            <w:tcW w:type="dxa" w:w="2800"/>
            <w:tcBorders>
              <w:top w:val="single" w:color="1A335C" w:sz="1"/>
              <w:left w:val="single" w:color="1A335C" w:sz="1"/>
              <w:bottom w:val="single" w:color="1A335C" w:sz="1"/>
              <w:right w:val="single" w:color="1A335C" w:sz="1"/>
            </w:tcBorders>
            <w:shd w:fill="FFFFFF" w:val="clear"/>
            <w:tcMar>
              <w:top w:type="dxa" w:w="80"/>
              <w:left w:type="dxa" w:w="120"/>
              <w:bottom w:type="dxa" w:w="80"/>
              <w:right w:type="dxa" w:w="120"/>
            </w:tcMar>
          </w:tcPr>
          <w:p>
            <w:r>
              <w:rPr>
                <w:rFonts w:ascii="Inter" w:cs="Inter" w:eastAsia="Inter" w:hAnsi="Inter"/>
                <w:color w:val="334155"/>
                <w:sz w:val="20"/>
                <w:szCs w:val="20"/>
              </w:rPr>
              <w:t xml:space="preserve">Mobile Senior (React Native)</w:t>
            </w:r>
          </w:p>
        </w:tc>
        <w:tc>
          <w:tcPr>
            <w:tcW w:type="dxa" w:w="1500"/>
            <w:tcBorders>
              <w:top w:val="single" w:color="1A335C" w:sz="1"/>
              <w:left w:val="single" w:color="1A335C" w:sz="1"/>
              <w:bottom w:val="single" w:color="1A335C" w:sz="1"/>
              <w:right w:val="single" w:color="1A335C" w:sz="1"/>
            </w:tcBorders>
            <w:shd w:fill="FFFFFF" w:val="clear"/>
            <w:tcMar>
              <w:top w:type="dxa" w:w="80"/>
              <w:left w:type="dxa" w:w="120"/>
              <w:bottom w:type="dxa" w:w="80"/>
              <w:right w:type="dxa" w:w="120"/>
            </w:tcMar>
          </w:tcPr>
          <w:p>
            <w:r>
              <w:rPr>
                <w:rFonts w:ascii="Inter" w:cs="Inter" w:eastAsia="Inter" w:hAnsi="Inter"/>
                <w:color w:val="334155"/>
                <w:sz w:val="20"/>
                <w:szCs w:val="20"/>
              </w:rPr>
              <w:t xml:space="preserve">1.0</w:t>
            </w:r>
          </w:p>
        </w:tc>
        <w:tc>
          <w:tcPr>
            <w:tcW w:type="dxa" w:w="5060"/>
            <w:tcBorders>
              <w:top w:val="single" w:color="1A335C" w:sz="1"/>
              <w:left w:val="single" w:color="1A335C" w:sz="1"/>
              <w:bottom w:val="single" w:color="1A335C" w:sz="1"/>
              <w:right w:val="single" w:color="1A335C" w:sz="1"/>
            </w:tcBorders>
            <w:shd w:fill="FFFFFF" w:val="clear"/>
            <w:tcMar>
              <w:top w:type="dxa" w:w="80"/>
              <w:left w:type="dxa" w:w="120"/>
              <w:bottom w:type="dxa" w:w="80"/>
              <w:right w:type="dxa" w:w="120"/>
            </w:tcMar>
          </w:tcPr>
          <w:p>
            <w:r>
              <w:rPr>
                <w:rFonts w:ascii="Inter" w:cs="Inter" w:eastAsia="Inter" w:hAnsi="Inter"/>
                <w:color w:val="334155"/>
                <w:sz w:val="20"/>
                <w:szCs w:val="20"/>
              </w:rPr>
              <w:t xml:space="preserve">App nativa, SQLite local, Snapshot, motor de biomasa.</w:t>
            </w:r>
          </w:p>
        </w:tc>
      </w:tr>
      <w:tr>
        <w:tc>
          <w:tcPr>
            <w:tcW w:type="dxa" w:w="2800"/>
            <w:tcBorders>
              <w:top w:val="single" w:color="1A335C" w:sz="1"/>
              <w:left w:val="single" w:color="1A335C" w:sz="1"/>
              <w:bottom w:val="single" w:color="1A335C" w:sz="1"/>
              <w:right w:val="single" w:color="1A335C" w:sz="1"/>
            </w:tcBorders>
            <w:shd w:fill="EAF6F4" w:val="clear"/>
            <w:tcMar>
              <w:top w:type="dxa" w:w="80"/>
              <w:left w:type="dxa" w:w="120"/>
              <w:bottom w:type="dxa" w:w="80"/>
              <w:right w:type="dxa" w:w="120"/>
            </w:tcMar>
          </w:tcPr>
          <w:p>
            <w:r>
              <w:rPr>
                <w:rFonts w:ascii="Inter" w:cs="Inter" w:eastAsia="Inter" w:hAnsi="Inter"/>
                <w:color w:val="334155"/>
                <w:sz w:val="20"/>
                <w:szCs w:val="20"/>
              </w:rPr>
              <w:t xml:space="preserve">QA Engineer</w:t>
            </w:r>
          </w:p>
        </w:tc>
        <w:tc>
          <w:tcPr>
            <w:tcW w:type="dxa" w:w="1500"/>
            <w:tcBorders>
              <w:top w:val="single" w:color="1A335C" w:sz="1"/>
              <w:left w:val="single" w:color="1A335C" w:sz="1"/>
              <w:bottom w:val="single" w:color="1A335C" w:sz="1"/>
              <w:right w:val="single" w:color="1A335C" w:sz="1"/>
            </w:tcBorders>
            <w:shd w:fill="EAF6F4" w:val="clear"/>
            <w:tcMar>
              <w:top w:type="dxa" w:w="80"/>
              <w:left w:type="dxa" w:w="120"/>
              <w:bottom w:type="dxa" w:w="80"/>
              <w:right w:type="dxa" w:w="120"/>
            </w:tcMar>
          </w:tcPr>
          <w:p>
            <w:r>
              <w:rPr>
                <w:rFonts w:ascii="Inter" w:cs="Inter" w:eastAsia="Inter" w:hAnsi="Inter"/>
                <w:color w:val="334155"/>
                <w:sz w:val="20"/>
                <w:szCs w:val="20"/>
              </w:rPr>
              <w:t xml:space="preserve">0.5</w:t>
            </w:r>
          </w:p>
        </w:tc>
        <w:tc>
          <w:tcPr>
            <w:tcW w:type="dxa" w:w="5060"/>
            <w:tcBorders>
              <w:top w:val="single" w:color="1A335C" w:sz="1"/>
              <w:left w:val="single" w:color="1A335C" w:sz="1"/>
              <w:bottom w:val="single" w:color="1A335C" w:sz="1"/>
              <w:right w:val="single" w:color="1A335C" w:sz="1"/>
            </w:tcBorders>
            <w:shd w:fill="EAF6F4" w:val="clear"/>
            <w:tcMar>
              <w:top w:type="dxa" w:w="80"/>
              <w:left w:type="dxa" w:w="120"/>
              <w:bottom w:type="dxa" w:w="80"/>
              <w:right w:type="dxa" w:w="120"/>
            </w:tcMar>
          </w:tcPr>
          <w:p>
            <w:r>
              <w:rPr>
                <w:rFonts w:ascii="Inter" w:cs="Inter" w:eastAsia="Inter" w:hAnsi="Inter"/>
                <w:color w:val="334155"/>
                <w:sz w:val="20"/>
                <w:szCs w:val="20"/>
              </w:rPr>
              <w:t xml:space="preserve">Plan de pruebas, automatización E2E, validación regresión.</w:t>
            </w:r>
          </w:p>
        </w:tc>
      </w:tr>
      <w:tr>
        <w:tc>
          <w:tcPr>
            <w:tcW w:type="dxa" w:w="2800"/>
            <w:tcBorders>
              <w:top w:val="single" w:color="1A335C" w:sz="1"/>
              <w:left w:val="single" w:color="1A335C" w:sz="1"/>
              <w:bottom w:val="single" w:color="1A335C" w:sz="1"/>
              <w:right w:val="single" w:color="1A335C" w:sz="1"/>
            </w:tcBorders>
            <w:shd w:fill="FFFFFF" w:val="clear"/>
            <w:tcMar>
              <w:top w:type="dxa" w:w="80"/>
              <w:left w:type="dxa" w:w="120"/>
              <w:bottom w:type="dxa" w:w="80"/>
              <w:right w:type="dxa" w:w="120"/>
            </w:tcMar>
          </w:tcPr>
          <w:p>
            <w:r>
              <w:rPr>
                <w:rFonts w:ascii="Inter" w:cs="Inter" w:eastAsia="Inter" w:hAnsi="Inter"/>
                <w:color w:val="334155"/>
                <w:sz w:val="20"/>
                <w:szCs w:val="20"/>
              </w:rPr>
              <w:t xml:space="preserve">DevOps</w:t>
            </w:r>
          </w:p>
        </w:tc>
        <w:tc>
          <w:tcPr>
            <w:tcW w:type="dxa" w:w="1500"/>
            <w:tcBorders>
              <w:top w:val="single" w:color="1A335C" w:sz="1"/>
              <w:left w:val="single" w:color="1A335C" w:sz="1"/>
              <w:bottom w:val="single" w:color="1A335C" w:sz="1"/>
              <w:right w:val="single" w:color="1A335C" w:sz="1"/>
            </w:tcBorders>
            <w:shd w:fill="FFFFFF" w:val="clear"/>
            <w:tcMar>
              <w:top w:type="dxa" w:w="80"/>
              <w:left w:type="dxa" w:w="120"/>
              <w:bottom w:type="dxa" w:w="80"/>
              <w:right w:type="dxa" w:w="120"/>
            </w:tcMar>
          </w:tcPr>
          <w:p>
            <w:r>
              <w:rPr>
                <w:rFonts w:ascii="Inter" w:cs="Inter" w:eastAsia="Inter" w:hAnsi="Inter"/>
                <w:color w:val="334155"/>
                <w:sz w:val="20"/>
                <w:szCs w:val="20"/>
              </w:rPr>
              <w:t xml:space="preserve">0.3</w:t>
            </w:r>
          </w:p>
        </w:tc>
        <w:tc>
          <w:tcPr>
            <w:tcW w:type="dxa" w:w="5060"/>
            <w:tcBorders>
              <w:top w:val="single" w:color="1A335C" w:sz="1"/>
              <w:left w:val="single" w:color="1A335C" w:sz="1"/>
              <w:bottom w:val="single" w:color="1A335C" w:sz="1"/>
              <w:right w:val="single" w:color="1A335C" w:sz="1"/>
            </w:tcBorders>
            <w:shd w:fill="FFFFFF" w:val="clear"/>
            <w:tcMar>
              <w:top w:type="dxa" w:w="80"/>
              <w:left w:type="dxa" w:w="120"/>
              <w:bottom w:type="dxa" w:w="80"/>
              <w:right w:type="dxa" w:w="120"/>
            </w:tcMar>
          </w:tcPr>
          <w:p>
            <w:r>
              <w:rPr>
                <w:rFonts w:ascii="Inter" w:cs="Inter" w:eastAsia="Inter" w:hAnsi="Inter"/>
                <w:color w:val="334155"/>
                <w:sz w:val="20"/>
                <w:szCs w:val="20"/>
              </w:rPr>
              <w:t xml:space="preserve">CI/CD, monitoreo, despliegues, ambientes.</w:t>
            </w:r>
          </w:p>
        </w:tc>
      </w:tr>
      <w:tr>
        <w:tc>
          <w:tcPr>
            <w:tcW w:type="dxa" w:w="2800"/>
            <w:tcBorders>
              <w:top w:val="single" w:color="1A335C" w:sz="1"/>
              <w:left w:val="single" w:color="1A335C" w:sz="1"/>
              <w:bottom w:val="single" w:color="1A335C" w:sz="1"/>
              <w:right w:val="single" w:color="1A335C" w:sz="1"/>
            </w:tcBorders>
            <w:shd w:fill="EAF6F4" w:val="clear"/>
            <w:tcMar>
              <w:top w:type="dxa" w:w="80"/>
              <w:left w:type="dxa" w:w="120"/>
              <w:bottom w:type="dxa" w:w="80"/>
              <w:right w:type="dxa" w:w="120"/>
            </w:tcMar>
          </w:tcPr>
          <w:p>
            <w:r>
              <w:rPr>
                <w:rFonts w:ascii="Inter" w:cs="Inter" w:eastAsia="Inter" w:hAnsi="Inter"/>
                <w:color w:val="334155"/>
                <w:sz w:val="20"/>
                <w:szCs w:val="20"/>
              </w:rPr>
              <w:t xml:space="preserve">UX/UI Designer</w:t>
            </w:r>
          </w:p>
        </w:tc>
        <w:tc>
          <w:tcPr>
            <w:tcW w:type="dxa" w:w="1500"/>
            <w:tcBorders>
              <w:top w:val="single" w:color="1A335C" w:sz="1"/>
              <w:left w:val="single" w:color="1A335C" w:sz="1"/>
              <w:bottom w:val="single" w:color="1A335C" w:sz="1"/>
              <w:right w:val="single" w:color="1A335C" w:sz="1"/>
            </w:tcBorders>
            <w:shd w:fill="EAF6F4" w:val="clear"/>
            <w:tcMar>
              <w:top w:type="dxa" w:w="80"/>
              <w:left w:type="dxa" w:w="120"/>
              <w:bottom w:type="dxa" w:w="80"/>
              <w:right w:type="dxa" w:w="120"/>
            </w:tcMar>
          </w:tcPr>
          <w:p>
            <w:r>
              <w:rPr>
                <w:rFonts w:ascii="Inter" w:cs="Inter" w:eastAsia="Inter" w:hAnsi="Inter"/>
                <w:color w:val="334155"/>
                <w:sz w:val="20"/>
                <w:szCs w:val="20"/>
              </w:rPr>
              <w:t xml:space="preserve">0.5</w:t>
            </w:r>
          </w:p>
        </w:tc>
        <w:tc>
          <w:tcPr>
            <w:tcW w:type="dxa" w:w="5060"/>
            <w:tcBorders>
              <w:top w:val="single" w:color="1A335C" w:sz="1"/>
              <w:left w:val="single" w:color="1A335C" w:sz="1"/>
              <w:bottom w:val="single" w:color="1A335C" w:sz="1"/>
              <w:right w:val="single" w:color="1A335C" w:sz="1"/>
            </w:tcBorders>
            <w:shd w:fill="EAF6F4" w:val="clear"/>
            <w:tcMar>
              <w:top w:type="dxa" w:w="80"/>
              <w:left w:type="dxa" w:w="120"/>
              <w:bottom w:type="dxa" w:w="80"/>
              <w:right w:type="dxa" w:w="120"/>
            </w:tcMar>
          </w:tcPr>
          <w:p>
            <w:r>
              <w:rPr>
                <w:rFonts w:ascii="Inter" w:cs="Inter" w:eastAsia="Inter" w:hAnsi="Inter"/>
                <w:color w:val="334155"/>
                <w:sz w:val="20"/>
                <w:szCs w:val="20"/>
              </w:rPr>
              <w:t xml:space="preserve">Validación de Colorimétrica en pantallas reales, microinteracciones.</w:t>
            </w:r>
          </w:p>
        </w:tc>
      </w:tr>
      <w:tr>
        <w:tc>
          <w:tcPr>
            <w:tcW w:type="dxa" w:w="2800"/>
            <w:tcBorders>
              <w:top w:val="single" w:color="1A335C" w:sz="1"/>
              <w:left w:val="single" w:color="1A335C" w:sz="1"/>
              <w:bottom w:val="single" w:color="1A335C" w:sz="1"/>
              <w:right w:val="single" w:color="1A335C" w:sz="1"/>
            </w:tcBorders>
            <w:shd w:fill="FFFFFF" w:val="clear"/>
            <w:tcMar>
              <w:top w:type="dxa" w:w="80"/>
              <w:left w:type="dxa" w:w="120"/>
              <w:bottom w:type="dxa" w:w="80"/>
              <w:right w:type="dxa" w:w="120"/>
            </w:tcMar>
          </w:tcPr>
          <w:p>
            <w:r>
              <w:rPr>
                <w:rFonts w:ascii="Inter" w:cs="Inter" w:eastAsia="Inter" w:hAnsi="Inter"/>
                <w:color w:val="334155"/>
                <w:sz w:val="20"/>
                <w:szCs w:val="20"/>
              </w:rPr>
              <w:t xml:space="preserve">Asesor Acuícola (Externo)</w:t>
            </w:r>
          </w:p>
        </w:tc>
        <w:tc>
          <w:tcPr>
            <w:tcW w:type="dxa" w:w="1500"/>
            <w:tcBorders>
              <w:top w:val="single" w:color="1A335C" w:sz="1"/>
              <w:left w:val="single" w:color="1A335C" w:sz="1"/>
              <w:bottom w:val="single" w:color="1A335C" w:sz="1"/>
              <w:right w:val="single" w:color="1A335C" w:sz="1"/>
            </w:tcBorders>
            <w:shd w:fill="FFFFFF" w:val="clear"/>
            <w:tcMar>
              <w:top w:type="dxa" w:w="80"/>
              <w:left w:type="dxa" w:w="120"/>
              <w:bottom w:type="dxa" w:w="80"/>
              <w:right w:type="dxa" w:w="120"/>
            </w:tcMar>
          </w:tcPr>
          <w:p>
            <w:r>
              <w:rPr>
                <w:rFonts w:ascii="Inter" w:cs="Inter" w:eastAsia="Inter" w:hAnsi="Inter"/>
                <w:color w:val="334155"/>
                <w:sz w:val="20"/>
                <w:szCs w:val="20"/>
              </w:rPr>
              <w:t xml:space="preserve">0.2</w:t>
            </w:r>
          </w:p>
        </w:tc>
        <w:tc>
          <w:tcPr>
            <w:tcW w:type="dxa" w:w="5060"/>
            <w:tcBorders>
              <w:top w:val="single" w:color="1A335C" w:sz="1"/>
              <w:left w:val="single" w:color="1A335C" w:sz="1"/>
              <w:bottom w:val="single" w:color="1A335C" w:sz="1"/>
              <w:right w:val="single" w:color="1A335C" w:sz="1"/>
            </w:tcBorders>
            <w:shd w:fill="FFFFFF" w:val="clear"/>
            <w:tcMar>
              <w:top w:type="dxa" w:w="80"/>
              <w:left w:type="dxa" w:w="120"/>
              <w:bottom w:type="dxa" w:w="80"/>
              <w:right w:type="dxa" w:w="120"/>
            </w:tcMar>
          </w:tcPr>
          <w:p>
            <w:r>
              <w:rPr>
                <w:rFonts w:ascii="Inter" w:cs="Inter" w:eastAsia="Inter" w:hAnsi="Inter"/>
                <w:color w:val="334155"/>
                <w:sz w:val="20"/>
                <w:szCs w:val="20"/>
              </w:rPr>
              <w:t xml:space="preserve">Validación biológica de Hard Limits y catálogo de insumos.</w:t>
            </w:r>
          </w:p>
        </w:tc>
      </w:tr>
    </w:tbl>
    <w:p>
      <w:pPr>
        <w:spacing w:after="120" w:before="120"/>
      </w:pPr>
      <w:r>
        <w:t xml:space="preserve"/>
      </w:r>
    </w:p>
    <w:p>
      <w:pPr>
        <w:pStyle w:val="Heading1"/>
        <w:pBdr>
          <w:bottom w:val="single" w:color="45C4B0" w:sz="8" w:space="4"/>
        </w:pBdr>
        <w:spacing w:after="160" w:before="360"/>
      </w:pPr>
      <w:r>
        <w:rPr>
          <w:rFonts w:ascii="Montserrat" w:cs="Montserrat" w:eastAsia="Montserrat" w:hAnsi="Montserrat"/>
          <w:b/>
          <w:bCs/>
          <w:color w:val="1A335C"/>
          <w:sz w:val="32"/>
          <w:szCs w:val="32"/>
        </w:rPr>
        <w:t xml:space="preserve">6. Riesgos del Plan e Indicadores Tempranos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4760"/>
      </w:tblGrid>
      <w:tr>
        <w:trPr>
          <w:tblHeader/>
        </w:trPr>
        <w:tc>
          <w:tcPr>
            <w:tcW w:type="dxa" w:w="3200"/>
            <w:tcBorders>
              <w:top w:val="single" w:color="1A335C" w:sz="1"/>
              <w:left w:val="single" w:color="1A335C" w:sz="1"/>
              <w:bottom w:val="single" w:color="1A335C" w:sz="1"/>
              <w:right w:val="single" w:color="1A335C" w:sz="1"/>
            </w:tcBorders>
            <w:shd w:fill="1A335C" w:val="clear"/>
            <w:tcMar>
              <w:top w:type="dxa" w:w="80"/>
              <w:left w:type="dxa" w:w="120"/>
              <w:bottom w:type="dxa" w:w="80"/>
              <w:right w:type="dxa" w:w="120"/>
            </w:tcMar>
          </w:tcPr>
          <w:p>
            <w:pPr>
              <w:jc w:val="center"/>
            </w:pPr>
            <w:r>
              <w:rPr>
                <w:rFonts w:ascii="Montserrat" w:cs="Montserrat" w:eastAsia="Montserrat" w:hAnsi="Montserrat"/>
                <w:b/>
                <w:bCs/>
                <w:color w:val="FFFFFF"/>
                <w:sz w:val="20"/>
                <w:szCs w:val="20"/>
              </w:rPr>
              <w:t xml:space="preserve">Riesgo</w:t>
            </w:r>
          </w:p>
        </w:tc>
        <w:tc>
          <w:tcPr>
            <w:tcW w:type="dxa" w:w="1400"/>
            <w:tcBorders>
              <w:top w:val="single" w:color="1A335C" w:sz="1"/>
              <w:left w:val="single" w:color="1A335C" w:sz="1"/>
              <w:bottom w:val="single" w:color="1A335C" w:sz="1"/>
              <w:right w:val="single" w:color="1A335C" w:sz="1"/>
            </w:tcBorders>
            <w:shd w:fill="1A335C" w:val="clear"/>
            <w:tcMar>
              <w:top w:type="dxa" w:w="80"/>
              <w:left w:type="dxa" w:w="120"/>
              <w:bottom w:type="dxa" w:w="80"/>
              <w:right w:type="dxa" w:w="120"/>
            </w:tcMar>
          </w:tcPr>
          <w:p>
            <w:pPr>
              <w:jc w:val="center"/>
            </w:pPr>
            <w:r>
              <w:rPr>
                <w:rFonts w:ascii="Montserrat" w:cs="Montserrat" w:eastAsia="Montserrat" w:hAnsi="Montserrat"/>
                <w:b/>
                <w:bCs/>
                <w:color w:val="FFFFFF"/>
                <w:sz w:val="20"/>
                <w:szCs w:val="20"/>
              </w:rPr>
              <w:t xml:space="preserve">Severidad</w:t>
            </w:r>
          </w:p>
        </w:tc>
        <w:tc>
          <w:tcPr>
            <w:tcW w:type="dxa" w:w="4760"/>
            <w:tcBorders>
              <w:top w:val="single" w:color="1A335C" w:sz="1"/>
              <w:left w:val="single" w:color="1A335C" w:sz="1"/>
              <w:bottom w:val="single" w:color="1A335C" w:sz="1"/>
              <w:right w:val="single" w:color="1A335C" w:sz="1"/>
            </w:tcBorders>
            <w:shd w:fill="1A335C" w:val="clear"/>
            <w:tcMar>
              <w:top w:type="dxa" w:w="80"/>
              <w:left w:type="dxa" w:w="120"/>
              <w:bottom w:type="dxa" w:w="80"/>
              <w:right w:type="dxa" w:w="120"/>
            </w:tcMar>
          </w:tcPr>
          <w:p>
            <w:pPr>
              <w:jc w:val="center"/>
            </w:pPr>
            <w:r>
              <w:rPr>
                <w:rFonts w:ascii="Montserrat" w:cs="Montserrat" w:eastAsia="Montserrat" w:hAnsi="Montserrat"/>
                <w:b/>
                <w:bCs/>
                <w:color w:val="FFFFFF"/>
                <w:sz w:val="20"/>
                <w:szCs w:val="20"/>
              </w:rPr>
              <w:t xml:space="preserve">Indicador Temprano</w:t>
            </w:r>
          </w:p>
        </w:tc>
      </w:tr>
      <w:tr>
        <w:tc>
          <w:tcPr>
            <w:tcW w:type="dxa" w:w="3200"/>
            <w:tcBorders>
              <w:top w:val="single" w:color="1A335C" w:sz="1"/>
              <w:left w:val="single" w:color="1A335C" w:sz="1"/>
              <w:bottom w:val="single" w:color="1A335C" w:sz="1"/>
              <w:right w:val="single" w:color="1A335C" w:sz="1"/>
            </w:tcBorders>
            <w:shd w:fill="FFFFFF" w:val="clear"/>
            <w:tcMar>
              <w:top w:type="dxa" w:w="80"/>
              <w:left w:type="dxa" w:w="120"/>
              <w:bottom w:type="dxa" w:w="80"/>
              <w:right w:type="dxa" w:w="120"/>
            </w:tcMar>
          </w:tcPr>
          <w:p>
            <w:r>
              <w:rPr>
                <w:rFonts w:ascii="Inter" w:cs="Inter" w:eastAsia="Inter" w:hAnsi="Inter"/>
                <w:color w:val="334155"/>
                <w:sz w:val="20"/>
                <w:szCs w:val="20"/>
              </w:rPr>
              <w:t xml:space="preserve">Operario no comprende UI en campo</w:t>
            </w:r>
          </w:p>
        </w:tc>
        <w:tc>
          <w:tcPr>
            <w:tcW w:type="dxa" w:w="1400"/>
            <w:tcBorders>
              <w:top w:val="single" w:color="1A335C" w:sz="1"/>
              <w:left w:val="single" w:color="1A335C" w:sz="1"/>
              <w:bottom w:val="single" w:color="1A335C" w:sz="1"/>
              <w:right w:val="single" w:color="1A335C" w:sz="1"/>
            </w:tcBorders>
            <w:shd w:fill="FFFFFF" w:val="clear"/>
            <w:tcMar>
              <w:top w:type="dxa" w:w="80"/>
              <w:left w:type="dxa" w:w="120"/>
              <w:bottom w:type="dxa" w:w="80"/>
              <w:right w:type="dxa" w:w="120"/>
            </w:tcMar>
          </w:tcPr>
          <w:p>
            <w:r>
              <w:rPr>
                <w:rFonts w:ascii="Inter" w:cs="Inter" w:eastAsia="Inter" w:hAnsi="Inter"/>
                <w:color w:val="334155"/>
                <w:sz w:val="20"/>
                <w:szCs w:val="20"/>
              </w:rPr>
              <w:t xml:space="preserve">Alta</w:t>
            </w:r>
          </w:p>
        </w:tc>
        <w:tc>
          <w:tcPr>
            <w:tcW w:type="dxa" w:w="4760"/>
            <w:tcBorders>
              <w:top w:val="single" w:color="1A335C" w:sz="1"/>
              <w:left w:val="single" w:color="1A335C" w:sz="1"/>
              <w:bottom w:val="single" w:color="1A335C" w:sz="1"/>
              <w:right w:val="single" w:color="1A335C" w:sz="1"/>
            </w:tcBorders>
            <w:shd w:fill="FFFFFF" w:val="clear"/>
            <w:tcMar>
              <w:top w:type="dxa" w:w="80"/>
              <w:left w:type="dxa" w:w="120"/>
              <w:bottom w:type="dxa" w:w="80"/>
              <w:right w:type="dxa" w:w="120"/>
            </w:tcMar>
          </w:tcPr>
          <w:p>
            <w:r>
              <w:rPr>
                <w:rFonts w:ascii="Inter" w:cs="Inter" w:eastAsia="Inter" w:hAnsi="Inter"/>
                <w:color w:val="334155"/>
                <w:sz w:val="20"/>
                <w:szCs w:val="20"/>
              </w:rPr>
              <w:t xml:space="preserve">Test piloto con campesino real desde Sprint 3.</w:t>
            </w:r>
          </w:p>
        </w:tc>
      </w:tr>
      <w:tr>
        <w:tc>
          <w:tcPr>
            <w:tcW w:type="dxa" w:w="3200"/>
            <w:tcBorders>
              <w:top w:val="single" w:color="1A335C" w:sz="1"/>
              <w:left w:val="single" w:color="1A335C" w:sz="1"/>
              <w:bottom w:val="single" w:color="1A335C" w:sz="1"/>
              <w:right w:val="single" w:color="1A335C" w:sz="1"/>
            </w:tcBorders>
            <w:shd w:fill="EAF6F4" w:val="clear"/>
            <w:tcMar>
              <w:top w:type="dxa" w:w="80"/>
              <w:left w:type="dxa" w:w="120"/>
              <w:bottom w:type="dxa" w:w="80"/>
              <w:right w:type="dxa" w:w="120"/>
            </w:tcMar>
          </w:tcPr>
          <w:p>
            <w:r>
              <w:rPr>
                <w:rFonts w:ascii="Inter" w:cs="Inter" w:eastAsia="Inter" w:hAnsi="Inter"/>
                <w:color w:val="334155"/>
                <w:sz w:val="20"/>
                <w:szCs w:val="20"/>
              </w:rPr>
              <w:t xml:space="preserve">Sync falla en redes 2G/EDGE rurales</w:t>
            </w:r>
          </w:p>
        </w:tc>
        <w:tc>
          <w:tcPr>
            <w:tcW w:type="dxa" w:w="1400"/>
            <w:tcBorders>
              <w:top w:val="single" w:color="1A335C" w:sz="1"/>
              <w:left w:val="single" w:color="1A335C" w:sz="1"/>
              <w:bottom w:val="single" w:color="1A335C" w:sz="1"/>
              <w:right w:val="single" w:color="1A335C" w:sz="1"/>
            </w:tcBorders>
            <w:shd w:fill="EAF6F4" w:val="clear"/>
            <w:tcMar>
              <w:top w:type="dxa" w:w="80"/>
              <w:left w:type="dxa" w:w="120"/>
              <w:bottom w:type="dxa" w:w="80"/>
              <w:right w:type="dxa" w:w="120"/>
            </w:tcMar>
          </w:tcPr>
          <w:p>
            <w:r>
              <w:rPr>
                <w:rFonts w:ascii="Inter" w:cs="Inter" w:eastAsia="Inter" w:hAnsi="Inter"/>
                <w:color w:val="334155"/>
                <w:sz w:val="20"/>
                <w:szCs w:val="20"/>
              </w:rPr>
              <w:t xml:space="preserve">Alta</w:t>
            </w:r>
          </w:p>
        </w:tc>
        <w:tc>
          <w:tcPr>
            <w:tcW w:type="dxa" w:w="4760"/>
            <w:tcBorders>
              <w:top w:val="single" w:color="1A335C" w:sz="1"/>
              <w:left w:val="single" w:color="1A335C" w:sz="1"/>
              <w:bottom w:val="single" w:color="1A335C" w:sz="1"/>
              <w:right w:val="single" w:color="1A335C" w:sz="1"/>
            </w:tcBorders>
            <w:shd w:fill="EAF6F4" w:val="clear"/>
            <w:tcMar>
              <w:top w:type="dxa" w:w="80"/>
              <w:left w:type="dxa" w:w="120"/>
              <w:bottom w:type="dxa" w:w="80"/>
              <w:right w:type="dxa" w:w="120"/>
            </w:tcMar>
          </w:tcPr>
          <w:p>
            <w:r>
              <w:rPr>
                <w:rFonts w:ascii="Inter" w:cs="Inter" w:eastAsia="Inter" w:hAnsi="Inter"/>
                <w:color w:val="334155"/>
                <w:sz w:val="20"/>
                <w:szCs w:val="20"/>
              </w:rPr>
              <w:t xml:space="preserve">Tests sintéticos con throttling desde Sprint 4.</w:t>
            </w:r>
          </w:p>
        </w:tc>
      </w:tr>
      <w:tr>
        <w:tc>
          <w:tcPr>
            <w:tcW w:type="dxa" w:w="3200"/>
            <w:tcBorders>
              <w:top w:val="single" w:color="1A335C" w:sz="1"/>
              <w:left w:val="single" w:color="1A335C" w:sz="1"/>
              <w:bottom w:val="single" w:color="1A335C" w:sz="1"/>
              <w:right w:val="single" w:color="1A335C" w:sz="1"/>
            </w:tcBorders>
            <w:shd w:fill="FFFFFF" w:val="clear"/>
            <w:tcMar>
              <w:top w:type="dxa" w:w="80"/>
              <w:left w:type="dxa" w:w="120"/>
              <w:bottom w:type="dxa" w:w="80"/>
              <w:right w:type="dxa" w:w="120"/>
            </w:tcMar>
          </w:tcPr>
          <w:p>
            <w:r>
              <w:rPr>
                <w:rFonts w:ascii="Inter" w:cs="Inter" w:eastAsia="Inter" w:hAnsi="Inter"/>
                <w:color w:val="334155"/>
                <w:sz w:val="20"/>
                <w:szCs w:val="20"/>
              </w:rPr>
              <w:t xml:space="preserve">SQLite degrada en dispositivos &lt; 2GB RAM</w:t>
            </w:r>
          </w:p>
        </w:tc>
        <w:tc>
          <w:tcPr>
            <w:tcW w:type="dxa" w:w="1400"/>
            <w:tcBorders>
              <w:top w:val="single" w:color="1A335C" w:sz="1"/>
              <w:left w:val="single" w:color="1A335C" w:sz="1"/>
              <w:bottom w:val="single" w:color="1A335C" w:sz="1"/>
              <w:right w:val="single" w:color="1A335C" w:sz="1"/>
            </w:tcBorders>
            <w:shd w:fill="FFFFFF" w:val="clear"/>
            <w:tcMar>
              <w:top w:type="dxa" w:w="80"/>
              <w:left w:type="dxa" w:w="120"/>
              <w:bottom w:type="dxa" w:w="80"/>
              <w:right w:type="dxa" w:w="120"/>
            </w:tcMar>
          </w:tcPr>
          <w:p>
            <w:r>
              <w:rPr>
                <w:rFonts w:ascii="Inter" w:cs="Inter" w:eastAsia="Inter" w:hAnsi="Inter"/>
                <w:color w:val="334155"/>
                <w:sz w:val="20"/>
                <w:szCs w:val="20"/>
              </w:rPr>
              <w:t xml:space="preserve">Media</w:t>
            </w:r>
          </w:p>
        </w:tc>
        <w:tc>
          <w:tcPr>
            <w:tcW w:type="dxa" w:w="4760"/>
            <w:tcBorders>
              <w:top w:val="single" w:color="1A335C" w:sz="1"/>
              <w:left w:val="single" w:color="1A335C" w:sz="1"/>
              <w:bottom w:val="single" w:color="1A335C" w:sz="1"/>
              <w:right w:val="single" w:color="1A335C" w:sz="1"/>
            </w:tcBorders>
            <w:shd w:fill="FFFFFF" w:val="clear"/>
            <w:tcMar>
              <w:top w:type="dxa" w:w="80"/>
              <w:left w:type="dxa" w:w="120"/>
              <w:bottom w:type="dxa" w:w="80"/>
              <w:right w:type="dxa" w:w="120"/>
            </w:tcMar>
          </w:tcPr>
          <w:p>
            <w:r>
              <w:rPr>
                <w:rFonts w:ascii="Inter" w:cs="Inter" w:eastAsia="Inter" w:hAnsi="Inter"/>
                <w:color w:val="334155"/>
                <w:sz w:val="20"/>
                <w:szCs w:val="20"/>
              </w:rPr>
              <w:t xml:space="preserve">Benchmark de 1000 inserts en device de gama baja en Sprint 1.</w:t>
            </w:r>
          </w:p>
        </w:tc>
      </w:tr>
      <w:tr>
        <w:tc>
          <w:tcPr>
            <w:tcW w:type="dxa" w:w="3200"/>
            <w:tcBorders>
              <w:top w:val="single" w:color="1A335C" w:sz="1"/>
              <w:left w:val="single" w:color="1A335C" w:sz="1"/>
              <w:bottom w:val="single" w:color="1A335C" w:sz="1"/>
              <w:right w:val="single" w:color="1A335C" w:sz="1"/>
            </w:tcBorders>
            <w:shd w:fill="EAF6F4" w:val="clear"/>
            <w:tcMar>
              <w:top w:type="dxa" w:w="80"/>
              <w:left w:type="dxa" w:w="120"/>
              <w:bottom w:type="dxa" w:w="80"/>
              <w:right w:type="dxa" w:w="120"/>
            </w:tcMar>
          </w:tcPr>
          <w:p>
            <w:r>
              <w:rPr>
                <w:rFonts w:ascii="Inter" w:cs="Inter" w:eastAsia="Inter" w:hAnsi="Inter"/>
                <w:color w:val="334155"/>
                <w:sz w:val="20"/>
                <w:szCs w:val="20"/>
              </w:rPr>
              <w:t xml:space="preserve">Catálogo ICA difícil de mantener actualizado</w:t>
            </w:r>
          </w:p>
        </w:tc>
        <w:tc>
          <w:tcPr>
            <w:tcW w:type="dxa" w:w="1400"/>
            <w:tcBorders>
              <w:top w:val="single" w:color="1A335C" w:sz="1"/>
              <w:left w:val="single" w:color="1A335C" w:sz="1"/>
              <w:bottom w:val="single" w:color="1A335C" w:sz="1"/>
              <w:right w:val="single" w:color="1A335C" w:sz="1"/>
            </w:tcBorders>
            <w:shd w:fill="EAF6F4" w:val="clear"/>
            <w:tcMar>
              <w:top w:type="dxa" w:w="80"/>
              <w:left w:type="dxa" w:w="120"/>
              <w:bottom w:type="dxa" w:w="80"/>
              <w:right w:type="dxa" w:w="120"/>
            </w:tcMar>
          </w:tcPr>
          <w:p>
            <w:r>
              <w:rPr>
                <w:rFonts w:ascii="Inter" w:cs="Inter" w:eastAsia="Inter" w:hAnsi="Inter"/>
                <w:color w:val="334155"/>
                <w:sz w:val="20"/>
                <w:szCs w:val="20"/>
              </w:rPr>
              <w:t xml:space="preserve">Media</w:t>
            </w:r>
          </w:p>
        </w:tc>
        <w:tc>
          <w:tcPr>
            <w:tcW w:type="dxa" w:w="4760"/>
            <w:tcBorders>
              <w:top w:val="single" w:color="1A335C" w:sz="1"/>
              <w:left w:val="single" w:color="1A335C" w:sz="1"/>
              <w:bottom w:val="single" w:color="1A335C" w:sz="1"/>
              <w:right w:val="single" w:color="1A335C" w:sz="1"/>
            </w:tcBorders>
            <w:shd w:fill="EAF6F4" w:val="clear"/>
            <w:tcMar>
              <w:top w:type="dxa" w:w="80"/>
              <w:left w:type="dxa" w:w="120"/>
              <w:bottom w:type="dxa" w:w="80"/>
              <w:right w:type="dxa" w:w="120"/>
            </w:tcMar>
          </w:tcPr>
          <w:p>
            <w:r>
              <w:rPr>
                <w:rFonts w:ascii="Inter" w:cs="Inter" w:eastAsia="Inter" w:hAnsi="Inter"/>
                <w:color w:val="334155"/>
                <w:sz w:val="20"/>
                <w:szCs w:val="20"/>
              </w:rPr>
              <w:t xml:space="preserve">Validar fuente oficial del listado ICA en Sprint 5.</w:t>
            </w:r>
          </w:p>
        </w:tc>
      </w:tr>
      <w:tr>
        <w:tc>
          <w:tcPr>
            <w:tcW w:type="dxa" w:w="3200"/>
            <w:tcBorders>
              <w:top w:val="single" w:color="1A335C" w:sz="1"/>
              <w:left w:val="single" w:color="1A335C" w:sz="1"/>
              <w:bottom w:val="single" w:color="1A335C" w:sz="1"/>
              <w:right w:val="single" w:color="1A335C" w:sz="1"/>
            </w:tcBorders>
            <w:shd w:fill="FFFFFF" w:val="clear"/>
            <w:tcMar>
              <w:top w:type="dxa" w:w="80"/>
              <w:left w:type="dxa" w:w="120"/>
              <w:bottom w:type="dxa" w:w="80"/>
              <w:right w:type="dxa" w:w="120"/>
            </w:tcMar>
          </w:tcPr>
          <w:p>
            <w:r>
              <w:rPr>
                <w:rFonts w:ascii="Inter" w:cs="Inter" w:eastAsia="Inter" w:hAnsi="Inter"/>
                <w:color w:val="334155"/>
                <w:sz w:val="20"/>
                <w:szCs w:val="20"/>
              </w:rPr>
              <w:t xml:space="preserve">Refresh Token expira mid-turno nocturno</w:t>
            </w:r>
          </w:p>
        </w:tc>
        <w:tc>
          <w:tcPr>
            <w:tcW w:type="dxa" w:w="1400"/>
            <w:tcBorders>
              <w:top w:val="single" w:color="1A335C" w:sz="1"/>
              <w:left w:val="single" w:color="1A335C" w:sz="1"/>
              <w:bottom w:val="single" w:color="1A335C" w:sz="1"/>
              <w:right w:val="single" w:color="1A335C" w:sz="1"/>
            </w:tcBorders>
            <w:shd w:fill="FFFFFF" w:val="clear"/>
            <w:tcMar>
              <w:top w:type="dxa" w:w="80"/>
              <w:left w:type="dxa" w:w="120"/>
              <w:bottom w:type="dxa" w:w="80"/>
              <w:right w:type="dxa" w:w="120"/>
            </w:tcMar>
          </w:tcPr>
          <w:p>
            <w:r>
              <w:rPr>
                <w:rFonts w:ascii="Inter" w:cs="Inter" w:eastAsia="Inter" w:hAnsi="Inter"/>
                <w:color w:val="334155"/>
                <w:sz w:val="20"/>
                <w:szCs w:val="20"/>
              </w:rPr>
              <w:t xml:space="preserve">Alta</w:t>
            </w:r>
          </w:p>
        </w:tc>
        <w:tc>
          <w:tcPr>
            <w:tcW w:type="dxa" w:w="4760"/>
            <w:tcBorders>
              <w:top w:val="single" w:color="1A335C" w:sz="1"/>
              <w:left w:val="single" w:color="1A335C" w:sz="1"/>
              <w:bottom w:val="single" w:color="1A335C" w:sz="1"/>
              <w:right w:val="single" w:color="1A335C" w:sz="1"/>
            </w:tcBorders>
            <w:shd w:fill="FFFFFF" w:val="clear"/>
            <w:tcMar>
              <w:top w:type="dxa" w:w="80"/>
              <w:left w:type="dxa" w:w="120"/>
              <w:bottom w:type="dxa" w:w="80"/>
              <w:right w:type="dxa" w:w="120"/>
            </w:tcMar>
          </w:tcPr>
          <w:p>
            <w:r>
              <w:rPr>
                <w:rFonts w:ascii="Inter" w:cs="Inter" w:eastAsia="Inter" w:hAnsi="Inter"/>
                <w:color w:val="334155"/>
                <w:sz w:val="20"/>
                <w:szCs w:val="20"/>
              </w:rPr>
              <w:t xml:space="preserve">Test E2E de turno 12h continuo en Sprint 6.</w:t>
            </w:r>
          </w:p>
        </w:tc>
      </w:tr>
      <w:tr>
        <w:tc>
          <w:tcPr>
            <w:tcW w:type="dxa" w:w="3200"/>
            <w:tcBorders>
              <w:top w:val="single" w:color="1A335C" w:sz="1"/>
              <w:left w:val="single" w:color="1A335C" w:sz="1"/>
              <w:bottom w:val="single" w:color="1A335C" w:sz="1"/>
              <w:right w:val="single" w:color="1A335C" w:sz="1"/>
            </w:tcBorders>
            <w:shd w:fill="EAF6F4" w:val="clear"/>
            <w:tcMar>
              <w:top w:type="dxa" w:w="80"/>
              <w:left w:type="dxa" w:w="120"/>
              <w:bottom w:type="dxa" w:w="80"/>
              <w:right w:type="dxa" w:w="120"/>
            </w:tcMar>
          </w:tcPr>
          <w:p>
            <w:r>
              <w:rPr>
                <w:rFonts w:ascii="Inter" w:cs="Inter" w:eastAsia="Inter" w:hAnsi="Inter"/>
                <w:color w:val="334155"/>
                <w:sz w:val="20"/>
                <w:szCs w:val="20"/>
              </w:rPr>
              <w:t xml:space="preserve">Conflicto CRDT no detecta caso edge</w:t>
            </w:r>
          </w:p>
        </w:tc>
        <w:tc>
          <w:tcPr>
            <w:tcW w:type="dxa" w:w="1400"/>
            <w:tcBorders>
              <w:top w:val="single" w:color="1A335C" w:sz="1"/>
              <w:left w:val="single" w:color="1A335C" w:sz="1"/>
              <w:bottom w:val="single" w:color="1A335C" w:sz="1"/>
              <w:right w:val="single" w:color="1A335C" w:sz="1"/>
            </w:tcBorders>
            <w:shd w:fill="EAF6F4" w:val="clear"/>
            <w:tcMar>
              <w:top w:type="dxa" w:w="80"/>
              <w:left w:type="dxa" w:w="120"/>
              <w:bottom w:type="dxa" w:w="80"/>
              <w:right w:type="dxa" w:w="120"/>
            </w:tcMar>
          </w:tcPr>
          <w:p>
            <w:r>
              <w:rPr>
                <w:rFonts w:ascii="Inter" w:cs="Inter" w:eastAsia="Inter" w:hAnsi="Inter"/>
                <w:color w:val="334155"/>
                <w:sz w:val="20"/>
                <w:szCs w:val="20"/>
              </w:rPr>
              <w:t xml:space="preserve">Crítica</w:t>
            </w:r>
          </w:p>
        </w:tc>
        <w:tc>
          <w:tcPr>
            <w:tcW w:type="dxa" w:w="4760"/>
            <w:tcBorders>
              <w:top w:val="single" w:color="1A335C" w:sz="1"/>
              <w:left w:val="single" w:color="1A335C" w:sz="1"/>
              <w:bottom w:val="single" w:color="1A335C" w:sz="1"/>
              <w:right w:val="single" w:color="1A335C" w:sz="1"/>
            </w:tcBorders>
            <w:shd w:fill="EAF6F4" w:val="clear"/>
            <w:tcMar>
              <w:top w:type="dxa" w:w="80"/>
              <w:left w:type="dxa" w:w="120"/>
              <w:bottom w:type="dxa" w:w="80"/>
              <w:right w:type="dxa" w:w="120"/>
            </w:tcMar>
          </w:tcPr>
          <w:p>
            <w:r>
              <w:rPr>
                <w:rFonts w:ascii="Inter" w:cs="Inter" w:eastAsia="Inter" w:hAnsi="Inter"/>
                <w:color w:val="334155"/>
                <w:sz w:val="20"/>
                <w:szCs w:val="20"/>
              </w:rPr>
              <w:t xml:space="preserve">Test de fuzzing con 1000 escenarios concurrentes en Sprint 4.</w:t>
            </w:r>
          </w:p>
        </w:tc>
      </w:tr>
    </w:tbl>
    <w:p>
      <w:pPr>
        <w:spacing w:after="120" w:before="120"/>
      </w:pPr>
      <w:r>
        <w:t xml:space="preserve"/>
      </w:r>
    </w:p>
    <w:p>
      <w:pPr>
        <w:pStyle w:val="Heading1"/>
        <w:pBdr>
          <w:bottom w:val="single" w:color="45C4B0" w:sz="8" w:space="4"/>
        </w:pBdr>
        <w:spacing w:after="160" w:before="360"/>
      </w:pPr>
      <w:r>
        <w:rPr>
          <w:rFonts w:ascii="Montserrat" w:cs="Montserrat" w:eastAsia="Montserrat" w:hAnsi="Montserrat"/>
          <w:b/>
          <w:bCs/>
          <w:color w:val="1A335C"/>
          <w:sz w:val="32"/>
          <w:szCs w:val="32"/>
        </w:rPr>
        <w:t xml:space="preserve">7. Ceremonias y Cadencia</w:t>
      </w:r>
    </w:p>
    <w:p>
      <w:pPr>
        <w:pStyle w:val="ListParagraph"/>
        <w:numPr>
          <w:ilvl w:val="0"/>
          <w:numId w:val="2"/>
        </w:numPr>
        <w:spacing w:after="40" w:before="40"/>
      </w:pPr>
      <w:r>
        <w:rPr>
          <w:rFonts w:ascii="Inter" w:cs="Inter" w:eastAsia="Inter" w:hAnsi="Inter"/>
          <w:b w:val="false"/>
          <w:bCs w:val="false"/>
          <w:color w:val="334155"/>
          <w:sz w:val="22"/>
          <w:szCs w:val="22"/>
        </w:rPr>
        <w:t xml:space="preserve">Daily Standup: 15 min, 9:00 AM, formato bloqueos / progreso / próximo paso.</w:t>
      </w:r>
    </w:p>
    <w:p>
      <w:pPr>
        <w:pStyle w:val="ListParagraph"/>
        <w:numPr>
          <w:ilvl w:val="0"/>
          <w:numId w:val="2"/>
        </w:numPr>
        <w:spacing w:after="40" w:before="40"/>
      </w:pPr>
      <w:r>
        <w:rPr>
          <w:rFonts w:ascii="Inter" w:cs="Inter" w:eastAsia="Inter" w:hAnsi="Inter"/>
          <w:b w:val="false"/>
          <w:bCs w:val="false"/>
          <w:color w:val="334155"/>
          <w:sz w:val="22"/>
          <w:szCs w:val="22"/>
        </w:rPr>
        <w:t xml:space="preserve">Sprint Planning: 2h al inicio de cada sprint, refinamiento con story points.</w:t>
      </w:r>
    </w:p>
    <w:p>
      <w:pPr>
        <w:pStyle w:val="ListParagraph"/>
        <w:numPr>
          <w:ilvl w:val="0"/>
          <w:numId w:val="2"/>
        </w:numPr>
        <w:spacing w:after="40" w:before="40"/>
      </w:pPr>
      <w:r>
        <w:rPr>
          <w:rFonts w:ascii="Inter" w:cs="Inter" w:eastAsia="Inter" w:hAnsi="Inter"/>
          <w:b w:val="false"/>
          <w:bCs w:val="false"/>
          <w:color w:val="334155"/>
          <w:sz w:val="22"/>
          <w:szCs w:val="22"/>
        </w:rPr>
        <w:t xml:space="preserve">Sprint Review: 1h al final, demo funcional al Product Owner y stakeholders.</w:t>
      </w:r>
    </w:p>
    <w:p>
      <w:pPr>
        <w:pStyle w:val="ListParagraph"/>
        <w:numPr>
          <w:ilvl w:val="0"/>
          <w:numId w:val="2"/>
        </w:numPr>
        <w:spacing w:after="40" w:before="40"/>
      </w:pPr>
      <w:r>
        <w:rPr>
          <w:rFonts w:ascii="Inter" w:cs="Inter" w:eastAsia="Inter" w:hAnsi="Inter"/>
          <w:b w:val="false"/>
          <w:bCs w:val="false"/>
          <w:color w:val="334155"/>
          <w:sz w:val="22"/>
          <w:szCs w:val="22"/>
        </w:rPr>
        <w:t xml:space="preserve">Retrospectiva: 1h al final, acciones concretas con dueño y fecha.</w:t>
      </w:r>
    </w:p>
    <w:p>
      <w:pPr>
        <w:pStyle w:val="ListParagraph"/>
        <w:numPr>
          <w:ilvl w:val="0"/>
          <w:numId w:val="2"/>
        </w:numPr>
        <w:spacing w:after="40" w:before="40"/>
      </w:pPr>
      <w:r>
        <w:rPr>
          <w:rFonts w:ascii="Inter" w:cs="Inter" w:eastAsia="Inter" w:hAnsi="Inter"/>
          <w:b w:val="false"/>
          <w:bCs w:val="false"/>
          <w:color w:val="334155"/>
          <w:sz w:val="22"/>
          <w:szCs w:val="22"/>
        </w:rPr>
        <w:t xml:space="preserve">Refinamiento del Backlog: 1h semanal (jueves), preparación de próximo sprint.</w:t>
      </w:r>
    </w:p>
    <w:p>
      <w:pPr>
        <w:pStyle w:val="ListParagraph"/>
        <w:numPr>
          <w:ilvl w:val="0"/>
          <w:numId w:val="2"/>
        </w:numPr>
        <w:spacing w:after="40" w:before="40"/>
      </w:pPr>
      <w:r>
        <w:rPr>
          <w:rFonts w:ascii="Inter" w:cs="Inter" w:eastAsia="Inter" w:hAnsi="Inter"/>
          <w:b w:val="false"/>
          <w:bCs w:val="false"/>
          <w:color w:val="334155"/>
          <w:sz w:val="22"/>
          <w:szCs w:val="22"/>
        </w:rPr>
        <w:t xml:space="preserve">Architecture Sync: 1h quincenal entre Líder Técnico, Backend Senior y Mobile Senior.</w:t>
      </w:r>
    </w:p>
    <w:p>
      <w:pPr>
        <w:spacing w:after="120" w:before="120"/>
      </w:pPr>
      <w:r>
        <w:t xml:space="preserve"/>
      </w:r>
    </w:p>
    <w:p>
      <w:pPr>
        <w:pStyle w:val="Heading1"/>
        <w:pBdr>
          <w:bottom w:val="single" w:color="45C4B0" w:sz="8" w:space="4"/>
        </w:pBdr>
        <w:spacing w:after="160" w:before="360"/>
      </w:pPr>
      <w:r>
        <w:rPr>
          <w:rFonts w:ascii="Montserrat" w:cs="Montserrat" w:eastAsia="Montserrat" w:hAnsi="Montserrat"/>
          <w:b/>
          <w:bCs/>
          <w:color w:val="1A335C"/>
          <w:sz w:val="32"/>
          <w:szCs w:val="32"/>
        </w:rPr>
        <w:t xml:space="preserve">8. Métricas de Salud del Proyecto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rPr>
          <w:tblHeader/>
        </w:trPr>
        <w:tc>
          <w:tcPr>
            <w:tcW w:type="dxa" w:w="3000"/>
            <w:tcBorders>
              <w:top w:val="single" w:color="1A335C" w:sz="1"/>
              <w:left w:val="single" w:color="1A335C" w:sz="1"/>
              <w:bottom w:val="single" w:color="1A335C" w:sz="1"/>
              <w:right w:val="single" w:color="1A335C" w:sz="1"/>
            </w:tcBorders>
            <w:shd w:fill="1A335C" w:val="clear"/>
            <w:tcMar>
              <w:top w:type="dxa" w:w="80"/>
              <w:left w:type="dxa" w:w="120"/>
              <w:bottom w:type="dxa" w:w="80"/>
              <w:right w:type="dxa" w:w="120"/>
            </w:tcMar>
          </w:tcPr>
          <w:p>
            <w:pPr>
              <w:jc w:val="center"/>
            </w:pPr>
            <w:r>
              <w:rPr>
                <w:rFonts w:ascii="Montserrat" w:cs="Montserrat" w:eastAsia="Montserrat" w:hAnsi="Montserrat"/>
                <w:b/>
                <w:bCs/>
                <w:color w:val="FFFFFF"/>
                <w:sz w:val="20"/>
                <w:szCs w:val="20"/>
              </w:rPr>
              <w:t xml:space="preserve">Métrica</w:t>
            </w:r>
          </w:p>
        </w:tc>
        <w:tc>
          <w:tcPr>
            <w:tcW w:type="dxa" w:w="2000"/>
            <w:tcBorders>
              <w:top w:val="single" w:color="1A335C" w:sz="1"/>
              <w:left w:val="single" w:color="1A335C" w:sz="1"/>
              <w:bottom w:val="single" w:color="1A335C" w:sz="1"/>
              <w:right w:val="single" w:color="1A335C" w:sz="1"/>
            </w:tcBorders>
            <w:shd w:fill="1A335C" w:val="clear"/>
            <w:tcMar>
              <w:top w:type="dxa" w:w="80"/>
              <w:left w:type="dxa" w:w="120"/>
              <w:bottom w:type="dxa" w:w="80"/>
              <w:right w:type="dxa" w:w="120"/>
            </w:tcMar>
          </w:tcPr>
          <w:p>
            <w:pPr>
              <w:jc w:val="center"/>
            </w:pPr>
            <w:r>
              <w:rPr>
                <w:rFonts w:ascii="Montserrat" w:cs="Montserrat" w:eastAsia="Montserrat" w:hAnsi="Montserrat"/>
                <w:b/>
                <w:bCs/>
                <w:color w:val="FFFFFF"/>
                <w:sz w:val="20"/>
                <w:szCs w:val="20"/>
              </w:rPr>
              <w:t xml:space="preserve">Meta MVP</w:t>
            </w:r>
          </w:p>
        </w:tc>
        <w:tc>
          <w:tcPr>
            <w:tcW w:type="dxa" w:w="4360"/>
            <w:tcBorders>
              <w:top w:val="single" w:color="1A335C" w:sz="1"/>
              <w:left w:val="single" w:color="1A335C" w:sz="1"/>
              <w:bottom w:val="single" w:color="1A335C" w:sz="1"/>
              <w:right w:val="single" w:color="1A335C" w:sz="1"/>
            </w:tcBorders>
            <w:shd w:fill="1A335C" w:val="clear"/>
            <w:tcMar>
              <w:top w:type="dxa" w:w="80"/>
              <w:left w:type="dxa" w:w="120"/>
              <w:bottom w:type="dxa" w:w="80"/>
              <w:right w:type="dxa" w:w="120"/>
            </w:tcMar>
          </w:tcPr>
          <w:p>
            <w:pPr>
              <w:jc w:val="center"/>
            </w:pPr>
            <w:r>
              <w:rPr>
                <w:rFonts w:ascii="Montserrat" w:cs="Montserrat" w:eastAsia="Montserrat" w:hAnsi="Montserrat"/>
                <w:b/>
                <w:bCs/>
                <w:color w:val="FFFFFF"/>
                <w:sz w:val="20"/>
                <w:szCs w:val="20"/>
              </w:rPr>
              <w:t xml:space="preserve">Tolerancia</w:t>
            </w:r>
          </w:p>
        </w:tc>
      </w:tr>
      <w:tr>
        <w:tc>
          <w:tcPr>
            <w:tcW w:type="dxa" w:w="3000"/>
            <w:tcBorders>
              <w:top w:val="single" w:color="1A335C" w:sz="1"/>
              <w:left w:val="single" w:color="1A335C" w:sz="1"/>
              <w:bottom w:val="single" w:color="1A335C" w:sz="1"/>
              <w:right w:val="single" w:color="1A335C" w:sz="1"/>
            </w:tcBorders>
            <w:shd w:fill="FFFFFF" w:val="clear"/>
            <w:tcMar>
              <w:top w:type="dxa" w:w="80"/>
              <w:left w:type="dxa" w:w="120"/>
              <w:bottom w:type="dxa" w:w="80"/>
              <w:right w:type="dxa" w:w="120"/>
            </w:tcMar>
          </w:tcPr>
          <w:p>
            <w:r>
              <w:rPr>
                <w:rFonts w:ascii="Inter" w:cs="Inter" w:eastAsia="Inter" w:hAnsi="Inter"/>
                <w:color w:val="334155"/>
                <w:sz w:val="20"/>
                <w:szCs w:val="20"/>
              </w:rPr>
              <w:t xml:space="preserve">Cobertura de tests unitarios</w:t>
            </w:r>
          </w:p>
        </w:tc>
        <w:tc>
          <w:tcPr>
            <w:tcW w:type="dxa" w:w="2000"/>
            <w:tcBorders>
              <w:top w:val="single" w:color="1A335C" w:sz="1"/>
              <w:left w:val="single" w:color="1A335C" w:sz="1"/>
              <w:bottom w:val="single" w:color="1A335C" w:sz="1"/>
              <w:right w:val="single" w:color="1A335C" w:sz="1"/>
            </w:tcBorders>
            <w:shd w:fill="FFFFFF" w:val="clear"/>
            <w:tcMar>
              <w:top w:type="dxa" w:w="80"/>
              <w:left w:type="dxa" w:w="120"/>
              <w:bottom w:type="dxa" w:w="80"/>
              <w:right w:type="dxa" w:w="120"/>
            </w:tcMar>
          </w:tcPr>
          <w:p>
            <w:r>
              <w:rPr>
                <w:rFonts w:ascii="Inter" w:cs="Inter" w:eastAsia="Inter" w:hAnsi="Inter"/>
                <w:color w:val="334155"/>
                <w:sz w:val="20"/>
                <w:szCs w:val="20"/>
              </w:rPr>
              <w:t xml:space="preserve">&gt; 70%</w:t>
            </w:r>
          </w:p>
        </w:tc>
        <w:tc>
          <w:tcPr>
            <w:tcW w:type="dxa" w:w="4360"/>
            <w:tcBorders>
              <w:top w:val="single" w:color="1A335C" w:sz="1"/>
              <w:left w:val="single" w:color="1A335C" w:sz="1"/>
              <w:bottom w:val="single" w:color="1A335C" w:sz="1"/>
              <w:right w:val="single" w:color="1A335C" w:sz="1"/>
            </w:tcBorders>
            <w:shd w:fill="FFFFFF" w:val="clear"/>
            <w:tcMar>
              <w:top w:type="dxa" w:w="80"/>
              <w:left w:type="dxa" w:w="120"/>
              <w:bottom w:type="dxa" w:w="80"/>
              <w:right w:type="dxa" w:w="120"/>
            </w:tcMar>
          </w:tcPr>
          <w:p>
            <w:r>
              <w:rPr>
                <w:rFonts w:ascii="Inter" w:cs="Inter" w:eastAsia="Inter" w:hAnsi="Inter"/>
                <w:color w:val="334155"/>
                <w:sz w:val="20"/>
                <w:szCs w:val="20"/>
              </w:rPr>
              <w:t xml:space="preserve">Bloqueante si &lt; 60% al cierre de sprint</w:t>
            </w:r>
          </w:p>
        </w:tc>
      </w:tr>
      <w:tr>
        <w:tc>
          <w:tcPr>
            <w:tcW w:type="dxa" w:w="3000"/>
            <w:tcBorders>
              <w:top w:val="single" w:color="1A335C" w:sz="1"/>
              <w:left w:val="single" w:color="1A335C" w:sz="1"/>
              <w:bottom w:val="single" w:color="1A335C" w:sz="1"/>
              <w:right w:val="single" w:color="1A335C" w:sz="1"/>
            </w:tcBorders>
            <w:shd w:fill="EAF6F4" w:val="clear"/>
            <w:tcMar>
              <w:top w:type="dxa" w:w="80"/>
              <w:left w:type="dxa" w:w="120"/>
              <w:bottom w:type="dxa" w:w="80"/>
              <w:right w:type="dxa" w:w="120"/>
            </w:tcMar>
          </w:tcPr>
          <w:p>
            <w:r>
              <w:rPr>
                <w:rFonts w:ascii="Inter" w:cs="Inter" w:eastAsia="Inter" w:hAnsi="Inter"/>
                <w:color w:val="334155"/>
                <w:sz w:val="20"/>
                <w:szCs w:val="20"/>
              </w:rPr>
              <w:t xml:space="preserve">Tests E2E pasando</w:t>
            </w:r>
          </w:p>
        </w:tc>
        <w:tc>
          <w:tcPr>
            <w:tcW w:type="dxa" w:w="2000"/>
            <w:tcBorders>
              <w:top w:val="single" w:color="1A335C" w:sz="1"/>
              <w:left w:val="single" w:color="1A335C" w:sz="1"/>
              <w:bottom w:val="single" w:color="1A335C" w:sz="1"/>
              <w:right w:val="single" w:color="1A335C" w:sz="1"/>
            </w:tcBorders>
            <w:shd w:fill="EAF6F4" w:val="clear"/>
            <w:tcMar>
              <w:top w:type="dxa" w:w="80"/>
              <w:left w:type="dxa" w:w="120"/>
              <w:bottom w:type="dxa" w:w="80"/>
              <w:right w:type="dxa" w:w="120"/>
            </w:tcMar>
          </w:tcPr>
          <w:p>
            <w:r>
              <w:rPr>
                <w:rFonts w:ascii="Inter" w:cs="Inter" w:eastAsia="Inter" w:hAnsi="Inter"/>
                <w:color w:val="334155"/>
                <w:sz w:val="20"/>
                <w:szCs w:val="20"/>
              </w:rPr>
              <w:t xml:space="preserve">100%</w:t>
            </w:r>
          </w:p>
        </w:tc>
        <w:tc>
          <w:tcPr>
            <w:tcW w:type="dxa" w:w="4360"/>
            <w:tcBorders>
              <w:top w:val="single" w:color="1A335C" w:sz="1"/>
              <w:left w:val="single" w:color="1A335C" w:sz="1"/>
              <w:bottom w:val="single" w:color="1A335C" w:sz="1"/>
              <w:right w:val="single" w:color="1A335C" w:sz="1"/>
            </w:tcBorders>
            <w:shd w:fill="EAF6F4" w:val="clear"/>
            <w:tcMar>
              <w:top w:type="dxa" w:w="80"/>
              <w:left w:type="dxa" w:w="120"/>
              <w:bottom w:type="dxa" w:w="80"/>
              <w:right w:type="dxa" w:w="120"/>
            </w:tcMar>
          </w:tcPr>
          <w:p>
            <w:r>
              <w:rPr>
                <w:rFonts w:ascii="Inter" w:cs="Inter" w:eastAsia="Inter" w:hAnsi="Inter"/>
                <w:color w:val="334155"/>
                <w:sz w:val="20"/>
                <w:szCs w:val="20"/>
              </w:rPr>
              <w:t xml:space="preserve">Bloqueante para release a staging</w:t>
            </w:r>
          </w:p>
        </w:tc>
      </w:tr>
      <w:tr>
        <w:tc>
          <w:tcPr>
            <w:tcW w:type="dxa" w:w="3000"/>
            <w:tcBorders>
              <w:top w:val="single" w:color="1A335C" w:sz="1"/>
              <w:left w:val="single" w:color="1A335C" w:sz="1"/>
              <w:bottom w:val="single" w:color="1A335C" w:sz="1"/>
              <w:right w:val="single" w:color="1A335C" w:sz="1"/>
            </w:tcBorders>
            <w:shd w:fill="FFFFFF" w:val="clear"/>
            <w:tcMar>
              <w:top w:type="dxa" w:w="80"/>
              <w:left w:type="dxa" w:w="120"/>
              <w:bottom w:type="dxa" w:w="80"/>
              <w:right w:type="dxa" w:w="120"/>
            </w:tcMar>
          </w:tcPr>
          <w:p>
            <w:r>
              <w:rPr>
                <w:rFonts w:ascii="Inter" w:cs="Inter" w:eastAsia="Inter" w:hAnsi="Inter"/>
                <w:color w:val="334155"/>
                <w:sz w:val="20"/>
                <w:szCs w:val="20"/>
              </w:rPr>
              <w:t xml:space="preserve">P95 latencia API</w:t>
            </w:r>
          </w:p>
        </w:tc>
        <w:tc>
          <w:tcPr>
            <w:tcW w:type="dxa" w:w="2000"/>
            <w:tcBorders>
              <w:top w:val="single" w:color="1A335C" w:sz="1"/>
              <w:left w:val="single" w:color="1A335C" w:sz="1"/>
              <w:bottom w:val="single" w:color="1A335C" w:sz="1"/>
              <w:right w:val="single" w:color="1A335C" w:sz="1"/>
            </w:tcBorders>
            <w:shd w:fill="FFFFFF" w:val="clear"/>
            <w:tcMar>
              <w:top w:type="dxa" w:w="80"/>
              <w:left w:type="dxa" w:w="120"/>
              <w:bottom w:type="dxa" w:w="80"/>
              <w:right w:type="dxa" w:w="120"/>
            </w:tcMar>
          </w:tcPr>
          <w:p>
            <w:r>
              <w:rPr>
                <w:rFonts w:ascii="Inter" w:cs="Inter" w:eastAsia="Inter" w:hAnsi="Inter"/>
                <w:color w:val="334155"/>
                <w:sz w:val="20"/>
                <w:szCs w:val="20"/>
              </w:rPr>
              <w:t xml:space="preserve">&lt; 400ms</w:t>
            </w:r>
          </w:p>
        </w:tc>
        <w:tc>
          <w:tcPr>
            <w:tcW w:type="dxa" w:w="4360"/>
            <w:tcBorders>
              <w:top w:val="single" w:color="1A335C" w:sz="1"/>
              <w:left w:val="single" w:color="1A335C" w:sz="1"/>
              <w:bottom w:val="single" w:color="1A335C" w:sz="1"/>
              <w:right w:val="single" w:color="1A335C" w:sz="1"/>
            </w:tcBorders>
            <w:shd w:fill="FFFFFF" w:val="clear"/>
            <w:tcMar>
              <w:top w:type="dxa" w:w="80"/>
              <w:left w:type="dxa" w:w="120"/>
              <w:bottom w:type="dxa" w:w="80"/>
              <w:right w:type="dxa" w:w="120"/>
            </w:tcMar>
          </w:tcPr>
          <w:p>
            <w:r>
              <w:rPr>
                <w:rFonts w:ascii="Inter" w:cs="Inter" w:eastAsia="Inter" w:hAnsi="Inter"/>
                <w:color w:val="334155"/>
                <w:sz w:val="20"/>
                <w:szCs w:val="20"/>
              </w:rPr>
              <w:t xml:space="preserve">Investigar si &gt; 800ms</w:t>
            </w:r>
          </w:p>
        </w:tc>
      </w:tr>
      <w:tr>
        <w:tc>
          <w:tcPr>
            <w:tcW w:type="dxa" w:w="3000"/>
            <w:tcBorders>
              <w:top w:val="single" w:color="1A335C" w:sz="1"/>
              <w:left w:val="single" w:color="1A335C" w:sz="1"/>
              <w:bottom w:val="single" w:color="1A335C" w:sz="1"/>
              <w:right w:val="single" w:color="1A335C" w:sz="1"/>
            </w:tcBorders>
            <w:shd w:fill="EAF6F4" w:val="clear"/>
            <w:tcMar>
              <w:top w:type="dxa" w:w="80"/>
              <w:left w:type="dxa" w:w="120"/>
              <w:bottom w:type="dxa" w:w="80"/>
              <w:right w:type="dxa" w:w="120"/>
            </w:tcMar>
          </w:tcPr>
          <w:p>
            <w:r>
              <w:rPr>
                <w:rFonts w:ascii="Inter" w:cs="Inter" w:eastAsia="Inter" w:hAnsi="Inter"/>
                <w:color w:val="334155"/>
                <w:sz w:val="20"/>
                <w:szCs w:val="20"/>
              </w:rPr>
              <w:t xml:space="preserve">Tasa de éxito de sync</w:t>
            </w:r>
          </w:p>
        </w:tc>
        <w:tc>
          <w:tcPr>
            <w:tcW w:type="dxa" w:w="2000"/>
            <w:tcBorders>
              <w:top w:val="single" w:color="1A335C" w:sz="1"/>
              <w:left w:val="single" w:color="1A335C" w:sz="1"/>
              <w:bottom w:val="single" w:color="1A335C" w:sz="1"/>
              <w:right w:val="single" w:color="1A335C" w:sz="1"/>
            </w:tcBorders>
            <w:shd w:fill="EAF6F4" w:val="clear"/>
            <w:tcMar>
              <w:top w:type="dxa" w:w="80"/>
              <w:left w:type="dxa" w:w="120"/>
              <w:bottom w:type="dxa" w:w="80"/>
              <w:right w:type="dxa" w:w="120"/>
            </w:tcMar>
          </w:tcPr>
          <w:p>
            <w:r>
              <w:rPr>
                <w:rFonts w:ascii="Inter" w:cs="Inter" w:eastAsia="Inter" w:hAnsi="Inter"/>
                <w:color w:val="334155"/>
                <w:sz w:val="20"/>
                <w:szCs w:val="20"/>
              </w:rPr>
              <w:t xml:space="preserve">&gt; 99.5%</w:t>
            </w:r>
          </w:p>
        </w:tc>
        <w:tc>
          <w:tcPr>
            <w:tcW w:type="dxa" w:w="4360"/>
            <w:tcBorders>
              <w:top w:val="single" w:color="1A335C" w:sz="1"/>
              <w:left w:val="single" w:color="1A335C" w:sz="1"/>
              <w:bottom w:val="single" w:color="1A335C" w:sz="1"/>
              <w:right w:val="single" w:color="1A335C" w:sz="1"/>
            </w:tcBorders>
            <w:shd w:fill="EAF6F4" w:val="clear"/>
            <w:tcMar>
              <w:top w:type="dxa" w:w="80"/>
              <w:left w:type="dxa" w:w="120"/>
              <w:bottom w:type="dxa" w:w="80"/>
              <w:right w:type="dxa" w:w="120"/>
            </w:tcMar>
          </w:tcPr>
          <w:p>
            <w:r>
              <w:rPr>
                <w:rFonts w:ascii="Inter" w:cs="Inter" w:eastAsia="Inter" w:hAnsi="Inter"/>
                <w:color w:val="334155"/>
                <w:sz w:val="20"/>
                <w:szCs w:val="20"/>
              </w:rPr>
              <w:t xml:space="preserve">Investigar si &lt; 98%</w:t>
            </w:r>
          </w:p>
        </w:tc>
      </w:tr>
      <w:tr>
        <w:tc>
          <w:tcPr>
            <w:tcW w:type="dxa" w:w="3000"/>
            <w:tcBorders>
              <w:top w:val="single" w:color="1A335C" w:sz="1"/>
              <w:left w:val="single" w:color="1A335C" w:sz="1"/>
              <w:bottom w:val="single" w:color="1A335C" w:sz="1"/>
              <w:right w:val="single" w:color="1A335C" w:sz="1"/>
            </w:tcBorders>
            <w:shd w:fill="FFFFFF" w:val="clear"/>
            <w:tcMar>
              <w:top w:type="dxa" w:w="80"/>
              <w:left w:type="dxa" w:w="120"/>
              <w:bottom w:type="dxa" w:w="80"/>
              <w:right w:type="dxa" w:w="120"/>
            </w:tcMar>
          </w:tcPr>
          <w:p>
            <w:r>
              <w:rPr>
                <w:rFonts w:ascii="Inter" w:cs="Inter" w:eastAsia="Inter" w:hAnsi="Inter"/>
                <w:color w:val="334155"/>
                <w:sz w:val="20"/>
                <w:szCs w:val="20"/>
              </w:rPr>
              <w:t xml:space="preserve">Crash-free sessions (mobile)</w:t>
            </w:r>
          </w:p>
        </w:tc>
        <w:tc>
          <w:tcPr>
            <w:tcW w:type="dxa" w:w="2000"/>
            <w:tcBorders>
              <w:top w:val="single" w:color="1A335C" w:sz="1"/>
              <w:left w:val="single" w:color="1A335C" w:sz="1"/>
              <w:bottom w:val="single" w:color="1A335C" w:sz="1"/>
              <w:right w:val="single" w:color="1A335C" w:sz="1"/>
            </w:tcBorders>
            <w:shd w:fill="FFFFFF" w:val="clear"/>
            <w:tcMar>
              <w:top w:type="dxa" w:w="80"/>
              <w:left w:type="dxa" w:w="120"/>
              <w:bottom w:type="dxa" w:w="80"/>
              <w:right w:type="dxa" w:w="120"/>
            </w:tcMar>
          </w:tcPr>
          <w:p>
            <w:r>
              <w:rPr>
                <w:rFonts w:ascii="Inter" w:cs="Inter" w:eastAsia="Inter" w:hAnsi="Inter"/>
                <w:color w:val="334155"/>
                <w:sz w:val="20"/>
                <w:szCs w:val="20"/>
              </w:rPr>
              <w:t xml:space="preserve">&gt; 99.0%</w:t>
            </w:r>
          </w:p>
        </w:tc>
        <w:tc>
          <w:tcPr>
            <w:tcW w:type="dxa" w:w="4360"/>
            <w:tcBorders>
              <w:top w:val="single" w:color="1A335C" w:sz="1"/>
              <w:left w:val="single" w:color="1A335C" w:sz="1"/>
              <w:bottom w:val="single" w:color="1A335C" w:sz="1"/>
              <w:right w:val="single" w:color="1A335C" w:sz="1"/>
            </w:tcBorders>
            <w:shd w:fill="FFFFFF" w:val="clear"/>
            <w:tcMar>
              <w:top w:type="dxa" w:w="80"/>
              <w:left w:type="dxa" w:w="120"/>
              <w:bottom w:type="dxa" w:w="80"/>
              <w:right w:type="dxa" w:w="120"/>
            </w:tcMar>
          </w:tcPr>
          <w:p>
            <w:r>
              <w:rPr>
                <w:rFonts w:ascii="Inter" w:cs="Inter" w:eastAsia="Inter" w:hAnsi="Inter"/>
                <w:color w:val="334155"/>
                <w:sz w:val="20"/>
                <w:szCs w:val="20"/>
              </w:rPr>
              <w:t xml:space="preserve">Bloqueante si &lt; 97%</w:t>
            </w:r>
          </w:p>
        </w:tc>
      </w:tr>
      <w:tr>
        <w:tc>
          <w:tcPr>
            <w:tcW w:type="dxa" w:w="3000"/>
            <w:tcBorders>
              <w:top w:val="single" w:color="1A335C" w:sz="1"/>
              <w:left w:val="single" w:color="1A335C" w:sz="1"/>
              <w:bottom w:val="single" w:color="1A335C" w:sz="1"/>
              <w:right w:val="single" w:color="1A335C" w:sz="1"/>
            </w:tcBorders>
            <w:shd w:fill="EAF6F4" w:val="clear"/>
            <w:tcMar>
              <w:top w:type="dxa" w:w="80"/>
              <w:left w:type="dxa" w:w="120"/>
              <w:bottom w:type="dxa" w:w="80"/>
              <w:right w:type="dxa" w:w="120"/>
            </w:tcMar>
          </w:tcPr>
          <w:p>
            <w:r>
              <w:rPr>
                <w:rFonts w:ascii="Inter" w:cs="Inter" w:eastAsia="Inter" w:hAnsi="Inter"/>
                <w:color w:val="334155"/>
                <w:sz w:val="20"/>
                <w:szCs w:val="20"/>
              </w:rPr>
              <w:t xml:space="preserve">Tiempo de bootstrap nuevo ambiente</w:t>
            </w:r>
          </w:p>
        </w:tc>
        <w:tc>
          <w:tcPr>
            <w:tcW w:type="dxa" w:w="2000"/>
            <w:tcBorders>
              <w:top w:val="single" w:color="1A335C" w:sz="1"/>
              <w:left w:val="single" w:color="1A335C" w:sz="1"/>
              <w:bottom w:val="single" w:color="1A335C" w:sz="1"/>
              <w:right w:val="single" w:color="1A335C" w:sz="1"/>
            </w:tcBorders>
            <w:shd w:fill="EAF6F4" w:val="clear"/>
            <w:tcMar>
              <w:top w:type="dxa" w:w="80"/>
              <w:left w:type="dxa" w:w="120"/>
              <w:bottom w:type="dxa" w:w="80"/>
              <w:right w:type="dxa" w:w="120"/>
            </w:tcMar>
          </w:tcPr>
          <w:p>
            <w:r>
              <w:rPr>
                <w:rFonts w:ascii="Inter" w:cs="Inter" w:eastAsia="Inter" w:hAnsi="Inter"/>
                <w:color w:val="334155"/>
                <w:sz w:val="20"/>
                <w:szCs w:val="20"/>
              </w:rPr>
              <w:t xml:space="preserve">&lt; 30 min</w:t>
            </w:r>
          </w:p>
        </w:tc>
        <w:tc>
          <w:tcPr>
            <w:tcW w:type="dxa" w:w="4360"/>
            <w:tcBorders>
              <w:top w:val="single" w:color="1A335C" w:sz="1"/>
              <w:left w:val="single" w:color="1A335C" w:sz="1"/>
              <w:bottom w:val="single" w:color="1A335C" w:sz="1"/>
              <w:right w:val="single" w:color="1A335C" w:sz="1"/>
            </w:tcBorders>
            <w:shd w:fill="EAF6F4" w:val="clear"/>
            <w:tcMar>
              <w:top w:type="dxa" w:w="80"/>
              <w:left w:type="dxa" w:w="120"/>
              <w:bottom w:type="dxa" w:w="80"/>
              <w:right w:type="dxa" w:w="120"/>
            </w:tcMar>
          </w:tcPr>
          <w:p>
            <w:r>
              <w:rPr>
                <w:rFonts w:ascii="Inter" w:cs="Inter" w:eastAsia="Inter" w:hAnsi="Inter"/>
                <w:color w:val="334155"/>
                <w:sz w:val="20"/>
                <w:szCs w:val="20"/>
              </w:rPr>
              <w:t xml:space="preserve">Bloqueante si &gt; 1h</w:t>
            </w:r>
          </w:p>
        </w:tc>
      </w:tr>
      <w:tr>
        <w:tc>
          <w:tcPr>
            <w:tcW w:type="dxa" w:w="3000"/>
            <w:tcBorders>
              <w:top w:val="single" w:color="1A335C" w:sz="1"/>
              <w:left w:val="single" w:color="1A335C" w:sz="1"/>
              <w:bottom w:val="single" w:color="1A335C" w:sz="1"/>
              <w:right w:val="single" w:color="1A335C" w:sz="1"/>
            </w:tcBorders>
            <w:shd w:fill="FFFFFF" w:val="clear"/>
            <w:tcMar>
              <w:top w:type="dxa" w:w="80"/>
              <w:left w:type="dxa" w:w="120"/>
              <w:bottom w:type="dxa" w:w="80"/>
              <w:right w:type="dxa" w:w="120"/>
            </w:tcMar>
          </w:tcPr>
          <w:p>
            <w:r>
              <w:rPr>
                <w:rFonts w:ascii="Inter" w:cs="Inter" w:eastAsia="Inter" w:hAnsi="Inter"/>
                <w:color w:val="334155"/>
                <w:sz w:val="20"/>
                <w:szCs w:val="20"/>
              </w:rPr>
              <w:t xml:space="preserve">Velocidad de equipo (story points)</w:t>
            </w:r>
          </w:p>
        </w:tc>
        <w:tc>
          <w:tcPr>
            <w:tcW w:type="dxa" w:w="2000"/>
            <w:tcBorders>
              <w:top w:val="single" w:color="1A335C" w:sz="1"/>
              <w:left w:val="single" w:color="1A335C" w:sz="1"/>
              <w:bottom w:val="single" w:color="1A335C" w:sz="1"/>
              <w:right w:val="single" w:color="1A335C" w:sz="1"/>
            </w:tcBorders>
            <w:shd w:fill="FFFFFF" w:val="clear"/>
            <w:tcMar>
              <w:top w:type="dxa" w:w="80"/>
              <w:left w:type="dxa" w:w="120"/>
              <w:bottom w:type="dxa" w:w="80"/>
              <w:right w:type="dxa" w:w="120"/>
            </w:tcMar>
          </w:tcPr>
          <w:p>
            <w:r>
              <w:rPr>
                <w:rFonts w:ascii="Inter" w:cs="Inter" w:eastAsia="Inter" w:hAnsi="Inter"/>
                <w:color w:val="334155"/>
                <w:sz w:val="20"/>
                <w:szCs w:val="20"/>
              </w:rPr>
              <w:t xml:space="preserve">Estable ±20%</w:t>
            </w:r>
          </w:p>
        </w:tc>
        <w:tc>
          <w:tcPr>
            <w:tcW w:type="dxa" w:w="4360"/>
            <w:tcBorders>
              <w:top w:val="single" w:color="1A335C" w:sz="1"/>
              <w:left w:val="single" w:color="1A335C" w:sz="1"/>
              <w:bottom w:val="single" w:color="1A335C" w:sz="1"/>
              <w:right w:val="single" w:color="1A335C" w:sz="1"/>
            </w:tcBorders>
            <w:shd w:fill="FFFFFF" w:val="clear"/>
            <w:tcMar>
              <w:top w:type="dxa" w:w="80"/>
              <w:left w:type="dxa" w:w="120"/>
              <w:bottom w:type="dxa" w:w="80"/>
              <w:right w:type="dxa" w:w="120"/>
            </w:tcMar>
          </w:tcPr>
          <w:p>
            <w:r>
              <w:rPr>
                <w:rFonts w:ascii="Inter" w:cs="Inter" w:eastAsia="Inter" w:hAnsi="Inter"/>
                <w:color w:val="334155"/>
                <w:sz w:val="20"/>
                <w:szCs w:val="20"/>
              </w:rPr>
              <w:t xml:space="preserve">Investigar si varianza &gt; 40% entre sprints</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45C4B0" w:sz="1"/>
              <w:left w:val="single" w:color="45C4B0" w:sz="1"/>
              <w:bottom w:val="single" w:color="45C4B0" w:sz="1"/>
              <w:right w:val="single" w:color="45C4B0" w:sz="1"/>
            </w:tcBorders>
            <w:shd w:fill="45C4B0" w:val="clear"/>
            <w:tcMar>
              <w:top w:type="dxa" w:w="80"/>
              <w:left w:type="dxa" w:w="120"/>
              <w:bottom w:type="dxa" w:w="80"/>
              <w:right w:type="dxa" w:w="120"/>
            </w:tcMar>
            <w:vAlign w:val="center"/>
          </w:tcPr>
          <w:p>
            <w:pPr>
              <w:jc w:val="center"/>
            </w:pPr>
            <w:r>
              <w:rPr>
                <w:rFonts w:ascii="Montserrat" w:cs="Montserrat" w:eastAsia="Montserrat" w:hAnsi="Montserrat"/>
                <w:b/>
                <w:bCs/>
                <w:color w:val="FFFFFF"/>
                <w:sz w:val="20"/>
                <w:szCs w:val="20"/>
              </w:rPr>
              <w:t xml:space="preserve">🚀 INICIO</w:t>
            </w:r>
          </w:p>
        </w:tc>
        <w:tc>
          <w:tcPr>
            <w:tcW w:type="dxa" w:w="7920"/>
            <w:tcBorders>
              <w:top w:val="single" w:color="45C4B0" w:sz="1"/>
              <w:left w:val="single" w:color="45C4B0" w:sz="1"/>
              <w:bottom w:val="single" w:color="45C4B0" w:sz="1"/>
              <w:right w:val="single" w:color="45C4B0" w:sz="1"/>
            </w:tcBorders>
            <w:tcMar>
              <w:top w:type="dxa" w:w="80"/>
              <w:left w:type="dxa" w:w="120"/>
              <w:bottom w:type="dxa" w:w="80"/>
              <w:right w:type="dxa" w:w="120"/>
            </w:tcMar>
          </w:tcPr>
          <w:p>
            <w:r>
              <w:rPr>
                <w:rFonts w:ascii="Inter" w:cs="Inter" w:eastAsia="Inter" w:hAnsi="Inter"/>
                <w:color w:val="334155"/>
                <w:sz w:val="20"/>
                <w:szCs w:val="20"/>
              </w:rPr>
              <w:t xml:space="preserve">Una vez aprobado este TDD-11 por el Product Owner y el Líder Técnico, el equipo puede iniciar formalmente el Sprint 0. Toda la documentación referenciada (PCD, CI, TDD-01 al TDD-10, CU-01 al CU-08) está disponible en el repositorio del proyecto y constituye la fuente única de verdad para todas las decisiones de implementación.</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335C" w:sz="4" w:space="1"/>
      </w:pBdr>
    </w:pPr>
    <w:r>
      <w:rPr>
        <w:rFonts w:ascii="Inter" w:cs="Inter" w:eastAsia="Inter" w:hAnsi="Inter"/>
        <w:color w:val="334155"/>
        <w:sz w:val="16"/>
        <w:szCs w:val="16"/>
      </w:rPr>
      <w:t xml:space="preserve">Aquashell — Documento de Arquitectura Técnica  ·  Confidencial  ·  Pág. </w:t>
    </w:r>
    <w:r>
      <w:rPr>
        <w:rFonts w:ascii="Inter" w:cs="Inter" w:eastAsia="Inter" w:hAnsi="Inter"/>
        <w:color w:val="1A335C"/>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5C4B0" w:sz="6" w:space="1"/>
      </w:pBdr>
      <w:tabs>
        <w:tab w:val="right" w:pos="9026"/>
      </w:tabs>
    </w:pPr>
    <w:r>
      <w:rPr>
        <w:rFonts w:ascii="Montserrat" w:cs="Montserrat" w:eastAsia="Montserrat" w:hAnsi="Montserrat"/>
        <w:b/>
        <w:bCs/>
        <w:color w:val="45C4B0"/>
        <w:sz w:val="18"/>
        <w:szCs w:val="18"/>
      </w:rPr>
      <w:t xml:space="preserve">AQUASHELL  ·  </w:t>
    </w:r>
    <w:r>
      <w:rPr>
        <w:rFonts w:ascii="Montserrat" w:cs="Montserrat" w:eastAsia="Montserrat" w:hAnsi="Montserrat"/>
        <w:b/>
        <w:bCs/>
        <w:color w:val="1A335C"/>
        <w:sz w:val="18"/>
        <w:szCs w:val="18"/>
      </w:rPr>
      <w:t xml:space="preserve">Roadmap Maestro de Implementación</w:t>
    </w:r>
    <w:r>
      <w:rPr>
        <w:rFonts w:ascii="Inter" w:cs="Inter" w:eastAsia="Inter" w:hAnsi="Inter"/>
        <w:color w:val="C29B57"/>
        <w:sz w:val="16"/>
        <w:szCs w:val="16"/>
      </w:rPr>
      <w:t xml:space="preserve">	TDD-11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nter" w:cs="Inter" w:eastAsia="Inter" w:hAnsi="Inter"/>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Montserrat" w:cs="Montserrat" w:eastAsia="Montserrat" w:hAnsi="Montserrat"/>
      <w:b/>
      <w:bCs/>
      <w:color w:val="1A335C"/>
      <w:sz w:val="32"/>
      <w:szCs w:val="32"/>
    </w:rPr>
  </w:style>
  <w:style w:type="paragraph" w:styleId="Heading2">
    <w:name w:val="Heading 2"/>
    <w:basedOn w:val="Normal"/>
    <w:next w:val="Normal"/>
    <w:qFormat/>
    <w:pPr>
      <w:spacing w:after="120" w:before="280"/>
      <w:outlineLvl w:val="1"/>
    </w:pPr>
    <w:rPr>
      <w:rFonts w:ascii="Montserrat" w:cs="Montserrat" w:eastAsia="Montserrat" w:hAnsi="Montserrat"/>
      <w:b/>
      <w:bCs/>
      <w:color w:val="1A335C"/>
      <w:sz w:val="26"/>
      <w:szCs w:val="26"/>
    </w:rPr>
  </w:style>
  <w:style w:type="paragraph" w:styleId="Heading3">
    <w:name w:val="Heading 3"/>
    <w:basedOn w:val="Normal"/>
    <w:next w:val="Normal"/>
    <w:qFormat/>
    <w:pPr>
      <w:spacing w:after="80" w:before="200"/>
      <w:outlineLvl w:val="2"/>
    </w:pPr>
    <w:rPr>
      <w:rFonts w:ascii="Montserrat" w:cs="Montserrat" w:eastAsia="Montserrat" w:hAnsi="Montserrat"/>
      <w:b/>
      <w:bCs/>
      <w:color w:val="C29B57"/>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2026-05-03T20:16:22.909Z</dcterms:created>
  <dcterms:modified xsi:type="dcterms:W3CDTF">2026-05-03T20:16:22.909Z</dcterms:modified>
</cp:coreProperties>
</file>

<file path=docProps/custom.xml><?xml version="1.0" encoding="utf-8"?>
<Properties xmlns="http://schemas.openxmlformats.org/officeDocument/2006/custom-properties" xmlns:vt="http://schemas.openxmlformats.org/officeDocument/2006/docPropsVTypes"/>
</file>