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CHAPTER 4</w:t>
      </w:r>
    </w:p>
    <w:p>
      <w:pPr>
        <w:jc w:val="center"/>
      </w:pPr>
      <w:r>
        <w:rPr>
          <w:b/>
          <w:sz w:val="28"/>
        </w:rPr>
        <w:t>RESULTS AND DISCUSSION</w:t>
      </w:r>
    </w:p>
    <w:p/>
    <w:p>
      <w:pPr>
        <w:jc w:val="both"/>
      </w:pPr>
      <w:r>
        <w:rPr>
          <w:sz w:val="22"/>
        </w:rPr>
        <w:t>This chapter presents the results and discussion of the developed multimodal biometric authentication system. It covers the system's implemented components, the biometric data collected during enrollment, the algorithms benchmarked for each modality, and the security performance measured under three evaluation protocols ranging from optimistic to realistic. All numerical results reported in this chapter are derived from executable benchmark scripts in the project's ml/ directory; the corresponding CSV outputs are listed at the end of each section.</w:t>
      </w:r>
    </w:p>
    <w:p>
      <w:r>
        <w:rPr>
          <w:b/>
          <w:sz w:val="24"/>
        </w:rPr>
        <w:t>4.1 Development of a Multimodal Biometric Authentication System</w:t>
      </w:r>
    </w:p>
    <w:p>
      <w:pPr>
        <w:jc w:val="both"/>
      </w:pPr>
      <w:r>
        <w:rPr>
          <w:sz w:val="22"/>
        </w:rPr>
        <w:t>The primary objective of this study was to develop a web-based multimodal biometric authentication system integrating keystroke dynamics and speech biometrics within a Progressive Authentication Design. The system was developed iteratively across five Agile sprints. Sprint 1 established the keystroke logging and voice capture pipelines, including high-resolution timestamp collection via the browser's performance.now() API and raw audio capture via the MediaRecorder API. Sprint 2 implemented the Random Forest keystroke authentication module augmented with a Mahalanobis-distance proximity check. Sprint 3 integrated the ECAPA-TDNN speech biometrics module using SpeechBrain's pretrained 192-dimensional speaker embedding combined with cosine similarity scoring. Sprint 4 introduced the progressive enrollment ramp, security question registration and verification, and the voice-fusion fallback. Sprint 5 completed full system integration, usability refinement, and deployment validation.</w:t>
      </w:r>
    </w:p>
    <w:p>
      <w:r>
        <w:rPr>
          <w:b/>
          <w:i/>
          <w:sz w:val="22"/>
        </w:rPr>
        <w:t>4.1.1 System Architecture</w:t>
      </w:r>
    </w:p>
    <w:p>
      <w:pPr>
        <w:jc w:val="both"/>
      </w:pPr>
      <w:r>
        <w:rPr>
          <w:sz w:val="22"/>
        </w:rPr>
        <w:t>The completed system comprises three integrated modules: (1) the Biometric Data Capture Module, implemented in JavaScript using the browser's performance.now() API for keystroke event timestamps and the MediaRecorder API for voice recording, with RNNoise denoising applied client-side; (2) the Feature Extraction and Preprocessing Module, which computes keystroke timing features client-side — including dwell times, flight times, digraph timings, press-to-press and release-to-release intervals, typing rhythm, backspace ratio, hand alternation ratio, trigraph timings, and normalized timing features — and extracts 192-dimensional ECAPA-TDNN speaker embeddings server-side using the SpeechBrain pretrained model alongside Whisper-based phrase verification; and (3) the Progressive Authentication Engine, which applies Random Forest keystroke matching first, routes uncertain scores to the ECAPA voice gate, and falls back to a registered security question if both biometric modalities fail. Biometric templates are stored as serialized model weights and derived statistical features — not as raw reconstructable signals — with the user's enrolled passphrase encrypted at rest using Fernet symmetric encryption (AES-128-CBC + HMAC-SHA256), and all data transmissions protected via TLS.</w:t>
      </w:r>
    </w:p>
    <w:p>
      <w:r>
        <w:rPr>
          <w:b/>
          <w:i/>
          <w:sz w:val="22"/>
        </w:rPr>
        <w:t>4.1.2 Progressive Authentication Flow</w:t>
      </w:r>
    </w:p>
    <w:p>
      <w:pPr>
        <w:jc w:val="both"/>
      </w:pPr>
      <w:r>
        <w:rPr>
          <w:sz w:val="22"/>
        </w:rPr>
        <w:t>On each login attempt the system first evaluates the keystroke confidence score produced by the Random Forest classifier (or, for users with fewer than eleven enrollment samples, the Profile Matcher cold-start algorithm), fused with a Mahalanobis distance proximity score at an 85 % / 15 % intra-modal weighting:</w:t>
      </w:r>
    </w:p>
    <w:p>
      <w:pPr>
        <w:jc w:val="both"/>
      </w:pPr>
      <w:r>
        <w:rPr>
          <w:sz w:val="22"/>
        </w:rPr>
        <w:t xml:space="preserve">    fused_keystroke_score = 0.85 × rf_score + 0.15 × mahalanobis_score</w:t>
      </w:r>
    </w:p>
    <w:p>
      <w:pPr>
        <w:jc w:val="both"/>
      </w:pPr>
      <w:r>
        <w:rPr>
          <w:sz w:val="22"/>
        </w:rPr>
        <w:t>If the fused keystroke score is at or above 0.80, access is granted on keystroke verification alone. If it falls in the uncertain band [0.55, 0.79), the ECAPA-TDNN voice gate is invoked; the voice score is itself an intra-modal fusion of the ECAPA cosine similarity and a Mahalanobis proximity score over raw acoustic features at a 70 % / 30 % weighting:</w:t>
      </w:r>
    </w:p>
    <w:p>
      <w:pPr>
        <w:jc w:val="both"/>
      </w:pPr>
      <w:r>
        <w:rPr>
          <w:sz w:val="22"/>
        </w:rPr>
        <w:t xml:space="preserve">    fused_voice_score = 0.70 × ecapa_cosine + 0.30 × mahalanobis_score</w:t>
      </w:r>
    </w:p>
    <w:p>
      <w:pPr>
        <w:jc w:val="both"/>
      </w:pPr>
      <w:r>
        <w:rPr>
          <w:sz w:val="22"/>
        </w:rPr>
        <w:t>If the keystroke score lands in the uncertain band, the inter-modal fusion combines keystroke and voice into a final decision. If both modalities still fall below the decision threshold, the personal security question registered during enrollment is presented as the final fallback. Failure at all three stages flags the session as a potential impostor attempt and restricts further access. The decision thresholds of 0.55 (deny / route-to-fusion boundary) and 0.80 (instant-grant boundary) were calibrated empirically on the cross-user content-independent score distribution so that the impostor-acceptance rate at 0.55 is 0.00 % (see Section 4.4.4, Table 4.10).</w:t>
      </w:r>
    </w:p>
    <w:p>
      <w:r>
        <w:rPr>
          <w:b/>
          <w:i/>
          <w:sz w:val="22"/>
        </w:rPr>
        <w:t>4.1.3 Progressive Enrollment</w:t>
      </w:r>
    </w:p>
    <w:p>
      <w:pPr>
        <w:jc w:val="both"/>
      </w:pPr>
      <w:r>
        <w:rPr>
          <w:sz w:val="22"/>
        </w:rPr>
        <w:t>New users do not face the full hardened threshold immediately. The system applies a progressive enrollment ramp: for the first three logins the keystroke threshold is softened to 0.45; after three successful authentications it ramps to 0.55; after seven successful authentications it reaches the production threshold of 0.80. Maturity is measured as the count of granted keystroke or fusion authentication log entries for the user. Successful keystroke samples are saved back to the database after authentication and trigger periodic adaptive retraining (every 2, 5, or 10 logins depending on accumulated sample count, capped at 50 samples with first-in-first-out eviction). This mechanism allows the per-user model to track natural drift in typing pattern over time without requiring re-enrollment.</w:t>
      </w:r>
    </w:p>
    <w:p>
      <w:r>
        <w:rPr>
          <w:b/>
          <w:i/>
          <w:sz w:val="22"/>
        </w:rPr>
        <w:t>4.1.4 Passphrase-Based Enrollment Paradigm</w:t>
      </w:r>
    </w:p>
    <w:p>
      <w:pPr>
        <w:jc w:val="both"/>
      </w:pPr>
      <w:r>
        <w:rPr>
          <w:sz w:val="22"/>
        </w:rPr>
        <w:t>A passphrase-based input paradigm was adopted for both biometric modalities. Each enrolled user was assigned a unique randomly generated four-word passphrase drawn from a curated word list optimized for both clear pronunciation — benefiting voice biometric capture — and distinct typing rhythm — benefiting keystroke dynamics analysis. Per-login challenge phrases are randomized so that a captured replay of one session cannot be re-used in another. A minimum of five (5) keystroke samples and three (3) voice samples is enforced per user before the automated model training pipeline is triggered. The training pipeline is phrase-aware: only digraph and trigraph features that appear in the user's assigned passphrase are retained; all other phrase-specific feature columns are stripped before classifier fitting.</w:t>
      </w:r>
    </w:p>
    <w:p>
      <w:r>
        <w:br w:type="page"/>
      </w:r>
    </w:p>
    <w:p>
      <w:r>
        <w:rPr>
          <w:b/>
          <w:sz w:val="24"/>
        </w:rPr>
        <w:t>4.2 Biometric Sample Collection</w:t>
      </w:r>
    </w:p>
    <w:p>
      <w:pPr>
        <w:jc w:val="both"/>
      </w:pPr>
      <w:r>
        <w:rPr>
          <w:sz w:val="22"/>
        </w:rPr>
        <w:t>Biometric data were collected from twenty-one (21) participants who enrolled in the system through the production web interface. Of these, seventeen (17) participants additionally completed the voice enrollment stage to a sufficient depth to support speaker-verification training (≥ 3 voice samples). Each participant was assigned a unique randomly generated four-word passphrase used uniformly across all keystroke and voice samples for that participant. All biometric data collection was performed entirely through the browser, requiring no specialized hardware beyond a standard keyboard and microphone.</w:t>
      </w:r>
    </w:p>
    <w:p>
      <w:r>
        <w:rPr>
          <w:b/>
          <w:i/>
          <w:sz w:val="22"/>
        </w:rPr>
        <w:t>4.2.1 Keystroke Dynamics</w:t>
      </w:r>
    </w:p>
    <w:p>
      <w:pPr>
        <w:jc w:val="both"/>
      </w:pPr>
      <w:r>
        <w:rPr>
          <w:sz w:val="22"/>
        </w:rPr>
        <w:t>For each keystroke sample, the JavaScript module (keystroke.js) records high-resolution timestamps for every keypress and key release event via the browser's performance.now() API. Approximately fifty-two (52) base features are computed per sample, including dwell-time aggregates, flight-time aggregates, press-to-press (P2P) and release-to-release (R2R) intervals, typing speed and duration, rhythm coefficient of variation, pause counts, backspace ratio, hand alternation ratio, finger transition ratio, shift key lag, seek time, and normalized timing features relative to the user's enrolled mean. In addition the system extracts phrase-specific features: digraph timings for every active character bigram in the user's passphrase, trigraph timings for every active trigram, per-pair flight times, and per-key dwell times. After phrase expansion the full feature vector for a typical four-word passphrase is approximately 80–120 dimensional depending on the unique character bigram and trigram count.</w:t>
      </w:r>
    </w:p>
    <w:p>
      <w:r>
        <w:rPr>
          <w:b/>
          <w:i/>
          <w:sz w:val="22"/>
        </w:rPr>
        <w:t>4.2.2 Speech Biometrics</w:t>
      </w:r>
    </w:p>
    <w:p>
      <w:pPr>
        <w:jc w:val="both"/>
      </w:pPr>
      <w:r>
        <w:rPr>
          <w:sz w:val="22"/>
        </w:rPr>
        <w:t>Voice samples are captured using the MediaRecorder API (speech.js) with RNNoise denoising applied client-side to suppress background noise. Each captured utterance is sent to the backend, decoded to a 16 kHz mono waveform, and passed through SpeechBrain's pretrained ECAPA-TDNN speaker recognition model to extract a 192-dimensional speaker embedding. In parallel, OpenAI Whisper performs phrase verification to confirm that the spoken text matches the user's assigned passphrase. The ECAPA embedding becomes the speaker template; verification at authentication time computes the cosine similarity between the candidate embedding and the mean of the enrolled embeddings, fused with a Mahalanobis proximity score over raw spectral features.</w:t>
      </w:r>
    </w:p>
    <w:p>
      <w:r>
        <w:br w:type="page"/>
      </w:r>
    </w:p>
    <w:p>
      <w:r>
        <w:rPr>
          <w:b/>
          <w:sz w:val="24"/>
        </w:rPr>
        <w:t>4.3 Objective 3: Machine Learning Algorithm Identification</w:t>
      </w:r>
    </w:p>
    <w:p>
      <w:pPr>
        <w:jc w:val="both"/>
      </w:pPr>
      <w:r>
        <w:rPr>
          <w:sz w:val="22"/>
        </w:rPr>
        <w:t>The third objective required identifying the most suitable machine learning algorithms for keystroke feature extraction and classification, and for speech feature extraction and classification. Candidate algorithms were evaluated under two protocols: an internal protocol on the project's enrolled-user database, and an external public benchmark for independent validation. Selection criteria were Equal Error Rate (EER), Area Under the Receiver Operating Characteristic curve (AUC), and inference time. All numbers reported in the tables below are produced by ml/benchmark_keystroke.py, ml/benchmark_keystroke_cmu.py, ml/benchmark_voice.py, and ml/benchmark_voice_librispeech.py.</w:t>
      </w:r>
    </w:p>
    <w:p>
      <w:r>
        <w:rPr>
          <w:b/>
          <w:i/>
          <w:sz w:val="22"/>
        </w:rPr>
        <w:t>4.3.1 Keystroke Classification Algorithm Comparison</w:t>
      </w:r>
    </w:p>
    <w:p>
      <w:pPr>
        <w:jc w:val="both"/>
      </w:pPr>
      <w:r>
        <w:rPr>
          <w:sz w:val="22"/>
        </w:rPr>
        <w:t>Eight algorithms were evaluated for keystroke classification. The internal protocol uses per-user training with stratified 5-fold cross-validation on a pool of genuine enrollment samples, other-user impostor samples, the public CMU Keystroke Dynamics corpus, and tier-stratified synthetic impostors. Results are reported as the mean across all enrolled users.</w:t>
      </w:r>
    </w:p>
    <w:p>
      <w:pPr>
        <w:jc w:val="center"/>
      </w:pPr>
      <w:r>
        <w:rPr>
          <w:b/>
          <w:sz w:val="22"/>
        </w:rPr>
        <w:t>Table 4.1. Keystroke Algorithm Comparison — Internal Protocol (n = 21 users)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
              <w:rPr>
                <w:b/>
                <w:sz w:val="20"/>
              </w:rPr>
              <w:t>Algorithm</w:t>
            </w:r>
          </w:p>
        </w:tc>
        <w:tc>
          <w:tcPr>
            <w:tcW w:type="dxa" w:w="1560"/>
            <w:vAlign w:val="center"/>
          </w:tcPr>
          <w:p>
            <w:pPr>
              <w:jc w:val="center"/>
            </w:pPr>
            <w:r/>
            <w:r>
              <w:rPr>
                <w:b/>
                <w:sz w:val="20"/>
              </w:rPr>
              <w:t>Mean EER</w:t>
            </w:r>
          </w:p>
        </w:tc>
        <w:tc>
          <w:tcPr>
            <w:tcW w:type="dxa" w:w="1560"/>
            <w:vAlign w:val="center"/>
          </w:tcPr>
          <w:p>
            <w:pPr>
              <w:jc w:val="center"/>
            </w:pPr>
            <w:r/>
            <w:r>
              <w:rPr>
                <w:b/>
                <w:sz w:val="20"/>
              </w:rPr>
              <w:t>Std</w:t>
            </w:r>
          </w:p>
        </w:tc>
        <w:tc>
          <w:tcPr>
            <w:tcW w:type="dxa" w:w="1560"/>
            <w:vAlign w:val="center"/>
          </w:tcPr>
          <w:p>
            <w:pPr>
              <w:jc w:val="center"/>
            </w:pPr>
            <w:r/>
            <w:r>
              <w:rPr>
                <w:b/>
                <w:sz w:val="20"/>
              </w:rPr>
              <w:t>Min</w:t>
            </w:r>
          </w:p>
        </w:tc>
        <w:tc>
          <w:tcPr>
            <w:tcW w:type="dxa" w:w="1560"/>
            <w:vAlign w:val="center"/>
          </w:tcPr>
          <w:p>
            <w:pPr>
              <w:jc w:val="center"/>
            </w:pPr>
            <w:r/>
            <w:r>
              <w:rPr>
                <w:b/>
                <w:sz w:val="20"/>
              </w:rPr>
              <w:t>Max</w:t>
            </w:r>
          </w:p>
        </w:tc>
        <w:tc>
          <w:tcPr>
            <w:tcW w:type="dxa" w:w="1560"/>
            <w:vAlign w:val="center"/>
          </w:tcPr>
          <w:p>
            <w:pPr>
              <w:jc w:val="center"/>
            </w:pPr>
            <w:r/>
            <w:r>
              <w:rPr>
                <w:b/>
                <w:sz w:val="20"/>
              </w:rPr>
              <w:t>Mean AUC</w:t>
            </w:r>
          </w:p>
        </w:tc>
      </w:tr>
      <w:tr>
        <w:tc>
          <w:tcPr>
            <w:tcW w:type="dxa" w:w="1560"/>
            <w:vAlign w:val="center"/>
          </w:tcPr>
          <w:p>
            <w:pPr>
              <w:jc w:val="left"/>
            </w:pPr>
            <w:r/>
            <w:r>
              <w:rPr>
                <w:b w:val="0"/>
                <w:sz w:val="20"/>
              </w:rPr>
              <w:t>Random Forest (Selected)</w:t>
            </w:r>
          </w:p>
        </w:tc>
        <w:tc>
          <w:tcPr>
            <w:tcW w:type="dxa" w:w="1560"/>
            <w:vAlign w:val="center"/>
          </w:tcPr>
          <w:p>
            <w:pPr>
              <w:jc w:val="center"/>
            </w:pPr>
            <w:r/>
            <w:r>
              <w:rPr>
                <w:b w:val="0"/>
                <w:sz w:val="20"/>
              </w:rPr>
              <w:t>0.0000</w:t>
            </w:r>
          </w:p>
        </w:tc>
        <w:tc>
          <w:tcPr>
            <w:tcW w:type="dxa" w:w="1560"/>
            <w:vAlign w:val="center"/>
          </w:tcPr>
          <w:p>
            <w:pPr>
              <w:jc w:val="center"/>
            </w:pPr>
            <w:r/>
            <w:r>
              <w:rPr>
                <w:b w:val="0"/>
                <w:sz w:val="20"/>
              </w:rPr>
              <w:t>0.0000</w:t>
            </w:r>
          </w:p>
        </w:tc>
        <w:tc>
          <w:tcPr>
            <w:tcW w:type="dxa" w:w="1560"/>
            <w:vAlign w:val="center"/>
          </w:tcPr>
          <w:p>
            <w:pPr>
              <w:jc w:val="center"/>
            </w:pPr>
            <w:r/>
            <w:r>
              <w:rPr>
                <w:b w:val="0"/>
                <w:sz w:val="20"/>
              </w:rPr>
              <w:t>0.0000</w:t>
            </w:r>
          </w:p>
        </w:tc>
        <w:tc>
          <w:tcPr>
            <w:tcW w:type="dxa" w:w="1560"/>
            <w:vAlign w:val="center"/>
          </w:tcPr>
          <w:p>
            <w:pPr>
              <w:jc w:val="center"/>
            </w:pPr>
            <w:r/>
            <w:r>
              <w:rPr>
                <w:b w:val="0"/>
                <w:sz w:val="20"/>
              </w:rPr>
              <w:t>0.0000</w:t>
            </w:r>
          </w:p>
        </w:tc>
        <w:tc>
          <w:tcPr>
            <w:tcW w:type="dxa" w:w="1560"/>
            <w:vAlign w:val="center"/>
          </w:tcPr>
          <w:p>
            <w:pPr>
              <w:jc w:val="center"/>
            </w:pPr>
            <w:r/>
            <w:r>
              <w:rPr>
                <w:b w:val="0"/>
                <w:sz w:val="20"/>
              </w:rPr>
              <w:t>1.0000</w:t>
            </w:r>
          </w:p>
        </w:tc>
      </w:tr>
      <w:tr>
        <w:tc>
          <w:tcPr>
            <w:tcW w:type="dxa" w:w="1560"/>
            <w:vAlign w:val="center"/>
          </w:tcPr>
          <w:p>
            <w:pPr>
              <w:jc w:val="left"/>
            </w:pPr>
            <w:r/>
            <w:r>
              <w:rPr>
                <w:b w:val="0"/>
                <w:sz w:val="20"/>
              </w:rPr>
              <w:t>Gradient Boosting</w:t>
            </w:r>
          </w:p>
        </w:tc>
        <w:tc>
          <w:tcPr>
            <w:tcW w:type="dxa" w:w="1560"/>
            <w:vAlign w:val="center"/>
          </w:tcPr>
          <w:p>
            <w:pPr>
              <w:jc w:val="center"/>
            </w:pPr>
            <w:r/>
            <w:r>
              <w:rPr>
                <w:b w:val="0"/>
                <w:sz w:val="20"/>
              </w:rPr>
              <w:t>0.0000</w:t>
            </w:r>
          </w:p>
        </w:tc>
        <w:tc>
          <w:tcPr>
            <w:tcW w:type="dxa" w:w="1560"/>
            <w:vAlign w:val="center"/>
          </w:tcPr>
          <w:p>
            <w:pPr>
              <w:jc w:val="center"/>
            </w:pPr>
            <w:r/>
            <w:r>
              <w:rPr>
                <w:b w:val="0"/>
                <w:sz w:val="20"/>
              </w:rPr>
              <w:t>0.0000</w:t>
            </w:r>
          </w:p>
        </w:tc>
        <w:tc>
          <w:tcPr>
            <w:tcW w:type="dxa" w:w="1560"/>
            <w:vAlign w:val="center"/>
          </w:tcPr>
          <w:p>
            <w:pPr>
              <w:jc w:val="center"/>
            </w:pPr>
            <w:r/>
            <w:r>
              <w:rPr>
                <w:b w:val="0"/>
                <w:sz w:val="20"/>
              </w:rPr>
              <w:t>0.0000</w:t>
            </w:r>
          </w:p>
        </w:tc>
        <w:tc>
          <w:tcPr>
            <w:tcW w:type="dxa" w:w="1560"/>
            <w:vAlign w:val="center"/>
          </w:tcPr>
          <w:p>
            <w:pPr>
              <w:jc w:val="center"/>
            </w:pPr>
            <w:r/>
            <w:r>
              <w:rPr>
                <w:b w:val="0"/>
                <w:sz w:val="20"/>
              </w:rPr>
              <w:t>0.0000</w:t>
            </w:r>
          </w:p>
        </w:tc>
        <w:tc>
          <w:tcPr>
            <w:tcW w:type="dxa" w:w="1560"/>
            <w:vAlign w:val="center"/>
          </w:tcPr>
          <w:p>
            <w:pPr>
              <w:jc w:val="center"/>
            </w:pPr>
            <w:r/>
            <w:r>
              <w:rPr>
                <w:b w:val="0"/>
                <w:sz w:val="20"/>
              </w:rPr>
              <w:t>1.0000</w:t>
            </w:r>
          </w:p>
        </w:tc>
      </w:tr>
      <w:tr>
        <w:tc>
          <w:tcPr>
            <w:tcW w:type="dxa" w:w="1560"/>
            <w:vAlign w:val="center"/>
          </w:tcPr>
          <w:p>
            <w:pPr>
              <w:jc w:val="left"/>
            </w:pPr>
            <w:r/>
            <w:r>
              <w:rPr>
                <w:b w:val="0"/>
                <w:sz w:val="20"/>
              </w:rPr>
              <w:t>ProfileMatcher_GP (cold-start)</w:t>
            </w:r>
          </w:p>
        </w:tc>
        <w:tc>
          <w:tcPr>
            <w:tcW w:type="dxa" w:w="1560"/>
            <w:vAlign w:val="center"/>
          </w:tcPr>
          <w:p>
            <w:pPr>
              <w:jc w:val="center"/>
            </w:pPr>
            <w:r/>
            <w:r>
              <w:rPr>
                <w:b w:val="0"/>
                <w:sz w:val="20"/>
              </w:rPr>
              <w:t>0.0002</w:t>
            </w:r>
          </w:p>
        </w:tc>
        <w:tc>
          <w:tcPr>
            <w:tcW w:type="dxa" w:w="1560"/>
            <w:vAlign w:val="center"/>
          </w:tcPr>
          <w:p>
            <w:pPr>
              <w:jc w:val="center"/>
            </w:pPr>
            <w:r/>
            <w:r>
              <w:rPr>
                <w:b w:val="0"/>
                <w:sz w:val="20"/>
              </w:rPr>
              <w:t>0.0008</w:t>
            </w:r>
          </w:p>
        </w:tc>
        <w:tc>
          <w:tcPr>
            <w:tcW w:type="dxa" w:w="1560"/>
            <w:vAlign w:val="center"/>
          </w:tcPr>
          <w:p>
            <w:pPr>
              <w:jc w:val="center"/>
            </w:pPr>
            <w:r/>
            <w:r>
              <w:rPr>
                <w:b w:val="0"/>
                <w:sz w:val="20"/>
              </w:rPr>
              <w:t>0.0000</w:t>
            </w:r>
          </w:p>
        </w:tc>
        <w:tc>
          <w:tcPr>
            <w:tcW w:type="dxa" w:w="1560"/>
            <w:vAlign w:val="center"/>
          </w:tcPr>
          <w:p>
            <w:pPr>
              <w:jc w:val="center"/>
            </w:pPr>
            <w:r/>
            <w:r>
              <w:rPr>
                <w:b w:val="0"/>
                <w:sz w:val="20"/>
              </w:rPr>
              <w:t>0.0037</w:t>
            </w:r>
          </w:p>
        </w:tc>
        <w:tc>
          <w:tcPr>
            <w:tcW w:type="dxa" w:w="1560"/>
            <w:vAlign w:val="center"/>
          </w:tcPr>
          <w:p>
            <w:pPr>
              <w:jc w:val="center"/>
            </w:pPr>
            <w:r/>
            <w:r>
              <w:rPr>
                <w:b w:val="0"/>
                <w:sz w:val="20"/>
              </w:rPr>
              <w:t>0.9999</w:t>
            </w:r>
          </w:p>
        </w:tc>
      </w:tr>
      <w:tr>
        <w:tc>
          <w:tcPr>
            <w:tcW w:type="dxa" w:w="1560"/>
            <w:vAlign w:val="center"/>
          </w:tcPr>
          <w:p>
            <w:pPr>
              <w:jc w:val="left"/>
            </w:pPr>
            <w:r/>
            <w:r>
              <w:rPr>
                <w:b w:val="0"/>
                <w:sz w:val="20"/>
              </w:rPr>
              <w:t>kNN (Manhattan)</w:t>
            </w:r>
          </w:p>
        </w:tc>
        <w:tc>
          <w:tcPr>
            <w:tcW w:type="dxa" w:w="1560"/>
            <w:vAlign w:val="center"/>
          </w:tcPr>
          <w:p>
            <w:pPr>
              <w:jc w:val="center"/>
            </w:pPr>
            <w:r/>
            <w:r>
              <w:rPr>
                <w:b w:val="0"/>
                <w:sz w:val="20"/>
              </w:rPr>
              <w:t>0.0003</w:t>
            </w:r>
          </w:p>
        </w:tc>
        <w:tc>
          <w:tcPr>
            <w:tcW w:type="dxa" w:w="1560"/>
            <w:vAlign w:val="center"/>
          </w:tcPr>
          <w:p>
            <w:pPr>
              <w:jc w:val="center"/>
            </w:pPr>
            <w:r/>
            <w:r>
              <w:rPr>
                <w:b w:val="0"/>
                <w:sz w:val="20"/>
              </w:rPr>
              <w:t>0.0009</w:t>
            </w:r>
          </w:p>
        </w:tc>
        <w:tc>
          <w:tcPr>
            <w:tcW w:type="dxa" w:w="1560"/>
            <w:vAlign w:val="center"/>
          </w:tcPr>
          <w:p>
            <w:pPr>
              <w:jc w:val="center"/>
            </w:pPr>
            <w:r/>
            <w:r>
              <w:rPr>
                <w:b w:val="0"/>
                <w:sz w:val="20"/>
              </w:rPr>
              <w:t>0.0000</w:t>
            </w:r>
          </w:p>
        </w:tc>
        <w:tc>
          <w:tcPr>
            <w:tcW w:type="dxa" w:w="1560"/>
            <w:vAlign w:val="center"/>
          </w:tcPr>
          <w:p>
            <w:pPr>
              <w:jc w:val="center"/>
            </w:pPr>
            <w:r/>
            <w:r>
              <w:rPr>
                <w:b w:val="0"/>
                <w:sz w:val="20"/>
              </w:rPr>
              <w:t>0.0042</w:t>
            </w:r>
          </w:p>
        </w:tc>
        <w:tc>
          <w:tcPr>
            <w:tcW w:type="dxa" w:w="1560"/>
            <w:vAlign w:val="center"/>
          </w:tcPr>
          <w:p>
            <w:pPr>
              <w:jc w:val="center"/>
            </w:pPr>
            <w:r/>
            <w:r>
              <w:rPr>
                <w:b w:val="0"/>
                <w:sz w:val="20"/>
              </w:rPr>
              <w:t>0.9999</w:t>
            </w:r>
          </w:p>
        </w:tc>
      </w:tr>
      <w:tr>
        <w:tc>
          <w:tcPr>
            <w:tcW w:type="dxa" w:w="1560"/>
            <w:vAlign w:val="center"/>
          </w:tcPr>
          <w:p>
            <w:pPr>
              <w:jc w:val="left"/>
            </w:pPr>
            <w:r/>
            <w:r>
              <w:rPr>
                <w:b w:val="0"/>
                <w:sz w:val="20"/>
              </w:rPr>
              <w:t>SVM (RBF)</w:t>
            </w:r>
          </w:p>
        </w:tc>
        <w:tc>
          <w:tcPr>
            <w:tcW w:type="dxa" w:w="1560"/>
            <w:vAlign w:val="center"/>
          </w:tcPr>
          <w:p>
            <w:pPr>
              <w:jc w:val="center"/>
            </w:pPr>
            <w:r/>
            <w:r>
              <w:rPr>
                <w:b w:val="0"/>
                <w:sz w:val="20"/>
              </w:rPr>
              <w:t>0.0777</w:t>
            </w:r>
          </w:p>
        </w:tc>
        <w:tc>
          <w:tcPr>
            <w:tcW w:type="dxa" w:w="1560"/>
            <w:vAlign w:val="center"/>
          </w:tcPr>
          <w:p>
            <w:pPr>
              <w:jc w:val="center"/>
            </w:pPr>
            <w:r/>
            <w:r>
              <w:rPr>
                <w:b w:val="0"/>
                <w:sz w:val="20"/>
              </w:rPr>
              <w:t>0.0671</w:t>
            </w:r>
          </w:p>
        </w:tc>
        <w:tc>
          <w:tcPr>
            <w:tcW w:type="dxa" w:w="1560"/>
            <w:vAlign w:val="center"/>
          </w:tcPr>
          <w:p>
            <w:pPr>
              <w:jc w:val="center"/>
            </w:pPr>
            <w:r/>
            <w:r>
              <w:rPr>
                <w:b w:val="0"/>
                <w:sz w:val="20"/>
              </w:rPr>
              <w:t>0.0000</w:t>
            </w:r>
          </w:p>
        </w:tc>
        <w:tc>
          <w:tcPr>
            <w:tcW w:type="dxa" w:w="1560"/>
            <w:vAlign w:val="center"/>
          </w:tcPr>
          <w:p>
            <w:pPr>
              <w:jc w:val="center"/>
            </w:pPr>
            <w:r/>
            <w:r>
              <w:rPr>
                <w:b w:val="0"/>
                <w:sz w:val="20"/>
              </w:rPr>
              <w:t>0.1917</w:t>
            </w:r>
          </w:p>
        </w:tc>
        <w:tc>
          <w:tcPr>
            <w:tcW w:type="dxa" w:w="1560"/>
            <w:vAlign w:val="center"/>
          </w:tcPr>
          <w:p>
            <w:pPr>
              <w:jc w:val="center"/>
            </w:pPr>
            <w:r/>
            <w:r>
              <w:rPr>
                <w:b w:val="0"/>
                <w:sz w:val="20"/>
              </w:rPr>
              <w:t>0.9451</w:t>
            </w:r>
          </w:p>
        </w:tc>
      </w:tr>
      <w:tr>
        <w:tc>
          <w:tcPr>
            <w:tcW w:type="dxa" w:w="1560"/>
            <w:vAlign w:val="center"/>
          </w:tcPr>
          <w:p>
            <w:pPr>
              <w:jc w:val="left"/>
            </w:pPr>
            <w:r/>
            <w:r>
              <w:rPr>
                <w:b w:val="0"/>
                <w:sz w:val="20"/>
              </w:rPr>
              <w:t>MLP</w:t>
            </w:r>
          </w:p>
        </w:tc>
        <w:tc>
          <w:tcPr>
            <w:tcW w:type="dxa" w:w="1560"/>
            <w:vAlign w:val="center"/>
          </w:tcPr>
          <w:p>
            <w:pPr>
              <w:jc w:val="center"/>
            </w:pPr>
            <w:r/>
            <w:r>
              <w:rPr>
                <w:b w:val="0"/>
                <w:sz w:val="20"/>
              </w:rPr>
              <w:t>0.0912</w:t>
            </w:r>
          </w:p>
        </w:tc>
        <w:tc>
          <w:tcPr>
            <w:tcW w:type="dxa" w:w="1560"/>
            <w:vAlign w:val="center"/>
          </w:tcPr>
          <w:p>
            <w:pPr>
              <w:jc w:val="center"/>
            </w:pPr>
            <w:r/>
            <w:r>
              <w:rPr>
                <w:b w:val="0"/>
                <w:sz w:val="20"/>
              </w:rPr>
              <w:t>0.1134</w:t>
            </w:r>
          </w:p>
        </w:tc>
        <w:tc>
          <w:tcPr>
            <w:tcW w:type="dxa" w:w="1560"/>
            <w:vAlign w:val="center"/>
          </w:tcPr>
          <w:p>
            <w:pPr>
              <w:jc w:val="center"/>
            </w:pPr>
            <w:r/>
            <w:r>
              <w:rPr>
                <w:b w:val="0"/>
                <w:sz w:val="20"/>
              </w:rPr>
              <w:t>0.0000</w:t>
            </w:r>
          </w:p>
        </w:tc>
        <w:tc>
          <w:tcPr>
            <w:tcW w:type="dxa" w:w="1560"/>
            <w:vAlign w:val="center"/>
          </w:tcPr>
          <w:p>
            <w:pPr>
              <w:jc w:val="center"/>
            </w:pPr>
            <w:r/>
            <w:r>
              <w:rPr>
                <w:b w:val="0"/>
                <w:sz w:val="20"/>
              </w:rPr>
              <w:t>0.4271</w:t>
            </w:r>
          </w:p>
        </w:tc>
        <w:tc>
          <w:tcPr>
            <w:tcW w:type="dxa" w:w="1560"/>
            <w:vAlign w:val="center"/>
          </w:tcPr>
          <w:p>
            <w:pPr>
              <w:jc w:val="center"/>
            </w:pPr>
            <w:r/>
            <w:r>
              <w:rPr>
                <w:b w:val="0"/>
                <w:sz w:val="20"/>
              </w:rPr>
              <w:t>0.9548</w:t>
            </w:r>
          </w:p>
        </w:tc>
      </w:tr>
      <w:tr>
        <w:tc>
          <w:tcPr>
            <w:tcW w:type="dxa" w:w="1560"/>
            <w:vAlign w:val="center"/>
          </w:tcPr>
          <w:p>
            <w:pPr>
              <w:jc w:val="left"/>
            </w:pPr>
            <w:r/>
            <w:r>
              <w:rPr>
                <w:b w:val="0"/>
                <w:sz w:val="20"/>
              </w:rPr>
              <w:t>Logistic Regression</w:t>
            </w:r>
          </w:p>
        </w:tc>
        <w:tc>
          <w:tcPr>
            <w:tcW w:type="dxa" w:w="1560"/>
            <w:vAlign w:val="center"/>
          </w:tcPr>
          <w:p>
            <w:pPr>
              <w:jc w:val="center"/>
            </w:pPr>
            <w:r/>
            <w:r>
              <w:rPr>
                <w:b w:val="0"/>
                <w:sz w:val="20"/>
              </w:rPr>
              <w:t>0.1379</w:t>
            </w:r>
          </w:p>
        </w:tc>
        <w:tc>
          <w:tcPr>
            <w:tcW w:type="dxa" w:w="1560"/>
            <w:vAlign w:val="center"/>
          </w:tcPr>
          <w:p>
            <w:pPr>
              <w:jc w:val="center"/>
            </w:pPr>
            <w:r/>
            <w:r>
              <w:rPr>
                <w:b w:val="0"/>
                <w:sz w:val="20"/>
              </w:rPr>
              <w:t>0.1191</w:t>
            </w:r>
          </w:p>
        </w:tc>
        <w:tc>
          <w:tcPr>
            <w:tcW w:type="dxa" w:w="1560"/>
            <w:vAlign w:val="center"/>
          </w:tcPr>
          <w:p>
            <w:pPr>
              <w:jc w:val="center"/>
            </w:pPr>
            <w:r/>
            <w:r>
              <w:rPr>
                <w:b w:val="0"/>
                <w:sz w:val="20"/>
              </w:rPr>
              <w:t>0.0000</w:t>
            </w:r>
          </w:p>
        </w:tc>
        <w:tc>
          <w:tcPr>
            <w:tcW w:type="dxa" w:w="1560"/>
            <w:vAlign w:val="center"/>
          </w:tcPr>
          <w:p>
            <w:pPr>
              <w:jc w:val="center"/>
            </w:pPr>
            <w:r/>
            <w:r>
              <w:rPr>
                <w:b w:val="0"/>
                <w:sz w:val="20"/>
              </w:rPr>
              <w:t>0.4148</w:t>
            </w:r>
          </w:p>
        </w:tc>
        <w:tc>
          <w:tcPr>
            <w:tcW w:type="dxa" w:w="1560"/>
            <w:vAlign w:val="center"/>
          </w:tcPr>
          <w:p>
            <w:pPr>
              <w:jc w:val="center"/>
            </w:pPr>
            <w:r/>
            <w:r>
              <w:rPr>
                <w:b w:val="0"/>
                <w:sz w:val="20"/>
              </w:rPr>
              <w:t>0.9235</w:t>
            </w:r>
          </w:p>
        </w:tc>
      </w:tr>
      <w:tr>
        <w:tc>
          <w:tcPr>
            <w:tcW w:type="dxa" w:w="1560"/>
            <w:vAlign w:val="center"/>
          </w:tcPr>
          <w:p>
            <w:pPr>
              <w:jc w:val="left"/>
            </w:pPr>
            <w:r/>
            <w:r>
              <w:rPr>
                <w:b w:val="0"/>
                <w:sz w:val="20"/>
              </w:rPr>
              <w:t>One-Class SVM</w:t>
            </w:r>
          </w:p>
        </w:tc>
        <w:tc>
          <w:tcPr>
            <w:tcW w:type="dxa" w:w="1560"/>
            <w:vAlign w:val="center"/>
          </w:tcPr>
          <w:p>
            <w:pPr>
              <w:jc w:val="center"/>
            </w:pPr>
            <w:r/>
            <w:r>
              <w:rPr>
                <w:b w:val="0"/>
                <w:sz w:val="20"/>
              </w:rPr>
              <w:t>0.2343</w:t>
            </w:r>
          </w:p>
        </w:tc>
        <w:tc>
          <w:tcPr>
            <w:tcW w:type="dxa" w:w="1560"/>
            <w:vAlign w:val="center"/>
          </w:tcPr>
          <w:p>
            <w:pPr>
              <w:jc w:val="center"/>
            </w:pPr>
            <w:r/>
            <w:r>
              <w:rPr>
                <w:b w:val="0"/>
                <w:sz w:val="20"/>
              </w:rPr>
              <w:t>0.1076</w:t>
            </w:r>
          </w:p>
        </w:tc>
        <w:tc>
          <w:tcPr>
            <w:tcW w:type="dxa" w:w="1560"/>
            <w:vAlign w:val="center"/>
          </w:tcPr>
          <w:p>
            <w:pPr>
              <w:jc w:val="center"/>
            </w:pPr>
            <w:r/>
            <w:r>
              <w:rPr>
                <w:b w:val="0"/>
                <w:sz w:val="20"/>
              </w:rPr>
              <w:t>0.0300</w:t>
            </w:r>
          </w:p>
        </w:tc>
        <w:tc>
          <w:tcPr>
            <w:tcW w:type="dxa" w:w="1560"/>
            <w:vAlign w:val="center"/>
          </w:tcPr>
          <w:p>
            <w:pPr>
              <w:jc w:val="center"/>
            </w:pPr>
            <w:r/>
            <w:r>
              <w:rPr>
                <w:b w:val="0"/>
                <w:sz w:val="20"/>
              </w:rPr>
              <w:t>0.5000</w:t>
            </w:r>
          </w:p>
        </w:tc>
        <w:tc>
          <w:tcPr>
            <w:tcW w:type="dxa" w:w="1560"/>
            <w:vAlign w:val="center"/>
          </w:tcPr>
          <w:p>
            <w:pPr>
              <w:jc w:val="center"/>
            </w:pPr>
            <w:r/>
            <w:r>
              <w:rPr>
                <w:b w:val="0"/>
                <w:sz w:val="20"/>
              </w:rPr>
              <w:t>0.8397</w:t>
            </w:r>
          </w:p>
        </w:tc>
      </w:tr>
    </w:tbl>
    <w:p>
      <w:pPr>
        <w:jc w:val="both"/>
      </w:pPr>
      <w:r>
        <w:rPr>
          <w:sz w:val="22"/>
        </w:rPr>
        <w:t>Random Forest and Gradient Boosting both reach a mean EER of 0.0000 under the internal protocol. This near-zero error reflects favourable training conditions: per-user models are fitted to a single legitimate typist with synthetic impostors drawn from the user's own (μ, σ) statistics and phrase-specific feature columns that distinguish users typing different passphrases. The internal protocol therefore represents an optimistic ceiling on algorithmic capability rather than a deployment estimate; Sections 4.4.2 and 4.4.3 below report the realistic deployment-equivalent EER under stricter protocols.</w:t>
      </w:r>
    </w:p>
    <w:p>
      <w:pPr>
        <w:jc w:val="both"/>
      </w:pPr>
      <w:r>
        <w:rPr>
          <w:sz w:val="22"/>
        </w:rPr>
        <w:t>To validate the internal ranking, the same algorithms were evaluated on the public CMU Keystroke Dynamics corpus (Killourhy &amp; Maxion, 2009) — 51 subjects each typing the same fixed passphrase 400 times across multiple sessions. The CMU benchmark uses no synthetic impostors; the impostor pool is composed entirely of the other 50 real subjects, and every algorithm sees a single shared passphrase so phrase content cannot leak identity.</w:t>
      </w:r>
    </w:p>
    <w:p>
      <w:pPr>
        <w:jc w:val="center"/>
      </w:pPr>
      <w:r>
        <w:rPr>
          <w:b/>
          <w:sz w:val="22"/>
        </w:rPr>
        <w:t>Table 4.2. Keystroke Algorithm Comparison — External CMU Benchmark (n = 51 subjects)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
              <w:rPr>
                <w:b/>
                <w:sz w:val="20"/>
              </w:rPr>
              <w:t>Algorithm</w:t>
            </w:r>
          </w:p>
        </w:tc>
        <w:tc>
          <w:tcPr>
            <w:tcW w:type="dxa" w:w="1872"/>
            <w:vAlign w:val="center"/>
          </w:tcPr>
          <w:p>
            <w:pPr>
              <w:jc w:val="center"/>
            </w:pPr>
            <w:r/>
            <w:r>
              <w:rPr>
                <w:b/>
                <w:sz w:val="20"/>
              </w:rPr>
              <w:t>Mean EER</w:t>
            </w:r>
          </w:p>
        </w:tc>
        <w:tc>
          <w:tcPr>
            <w:tcW w:type="dxa" w:w="1872"/>
            <w:vAlign w:val="center"/>
          </w:tcPr>
          <w:p>
            <w:pPr>
              <w:jc w:val="center"/>
            </w:pPr>
            <w:r/>
            <w:r>
              <w:rPr>
                <w:b/>
                <w:sz w:val="20"/>
              </w:rPr>
              <w:t>Mean FAR</w:t>
            </w:r>
          </w:p>
        </w:tc>
        <w:tc>
          <w:tcPr>
            <w:tcW w:type="dxa" w:w="1872"/>
            <w:vAlign w:val="center"/>
          </w:tcPr>
          <w:p>
            <w:pPr>
              <w:jc w:val="center"/>
            </w:pPr>
            <w:r/>
            <w:r>
              <w:rPr>
                <w:b/>
                <w:sz w:val="20"/>
              </w:rPr>
              <w:t>Mean FRR</w:t>
            </w:r>
          </w:p>
        </w:tc>
        <w:tc>
          <w:tcPr>
            <w:tcW w:type="dxa" w:w="1872"/>
            <w:vAlign w:val="center"/>
          </w:tcPr>
          <w:p>
            <w:pPr>
              <w:jc w:val="center"/>
            </w:pPr>
            <w:r/>
            <w:r>
              <w:rPr>
                <w:b/>
                <w:sz w:val="20"/>
              </w:rPr>
              <w:t>Mean AUC</w:t>
            </w:r>
          </w:p>
        </w:tc>
      </w:tr>
      <w:tr>
        <w:tc>
          <w:tcPr>
            <w:tcW w:type="dxa" w:w="1872"/>
            <w:vAlign w:val="center"/>
          </w:tcPr>
          <w:p>
            <w:pPr>
              <w:jc w:val="left"/>
            </w:pPr>
            <w:r/>
            <w:r>
              <w:rPr>
                <w:b w:val="0"/>
                <w:sz w:val="20"/>
              </w:rPr>
              <w:t>kNN (Manhattan)</w:t>
            </w:r>
          </w:p>
        </w:tc>
        <w:tc>
          <w:tcPr>
            <w:tcW w:type="dxa" w:w="1872"/>
            <w:vAlign w:val="center"/>
          </w:tcPr>
          <w:p>
            <w:pPr>
              <w:jc w:val="center"/>
            </w:pPr>
            <w:r/>
            <w:r>
              <w:rPr>
                <w:b w:val="0"/>
                <w:sz w:val="20"/>
              </w:rPr>
              <w:t>0.0321</w:t>
            </w:r>
          </w:p>
        </w:tc>
        <w:tc>
          <w:tcPr>
            <w:tcW w:type="dxa" w:w="1872"/>
            <w:vAlign w:val="center"/>
          </w:tcPr>
          <w:p>
            <w:pPr>
              <w:jc w:val="center"/>
            </w:pPr>
            <w:r/>
            <w:r>
              <w:rPr>
                <w:b w:val="0"/>
                <w:sz w:val="20"/>
              </w:rPr>
              <w:t>0.0314</w:t>
            </w:r>
          </w:p>
        </w:tc>
        <w:tc>
          <w:tcPr>
            <w:tcW w:type="dxa" w:w="1872"/>
            <w:vAlign w:val="center"/>
          </w:tcPr>
          <w:p>
            <w:pPr>
              <w:jc w:val="center"/>
            </w:pPr>
            <w:r/>
            <w:r>
              <w:rPr>
                <w:b w:val="0"/>
                <w:sz w:val="20"/>
              </w:rPr>
              <w:t>0.0327</w:t>
            </w:r>
          </w:p>
        </w:tc>
        <w:tc>
          <w:tcPr>
            <w:tcW w:type="dxa" w:w="1872"/>
            <w:vAlign w:val="center"/>
          </w:tcPr>
          <w:p>
            <w:pPr>
              <w:jc w:val="center"/>
            </w:pPr>
            <w:r/>
            <w:r>
              <w:rPr>
                <w:b w:val="0"/>
                <w:sz w:val="20"/>
              </w:rPr>
              <w:t>0.9896</w:t>
            </w:r>
          </w:p>
        </w:tc>
      </w:tr>
      <w:tr>
        <w:tc>
          <w:tcPr>
            <w:tcW w:type="dxa" w:w="1872"/>
            <w:vAlign w:val="center"/>
          </w:tcPr>
          <w:p>
            <w:pPr>
              <w:jc w:val="left"/>
            </w:pPr>
            <w:r/>
            <w:r>
              <w:rPr>
                <w:b w:val="0"/>
                <w:sz w:val="20"/>
              </w:rPr>
              <w:t>Random Forest (Selected)</w:t>
            </w:r>
          </w:p>
        </w:tc>
        <w:tc>
          <w:tcPr>
            <w:tcW w:type="dxa" w:w="1872"/>
            <w:vAlign w:val="center"/>
          </w:tcPr>
          <w:p>
            <w:pPr>
              <w:jc w:val="center"/>
            </w:pPr>
            <w:r/>
            <w:r>
              <w:rPr>
                <w:b w:val="0"/>
                <w:sz w:val="20"/>
              </w:rPr>
              <w:t>0.0421</w:t>
            </w:r>
          </w:p>
        </w:tc>
        <w:tc>
          <w:tcPr>
            <w:tcW w:type="dxa" w:w="1872"/>
            <w:vAlign w:val="center"/>
          </w:tcPr>
          <w:p>
            <w:pPr>
              <w:jc w:val="center"/>
            </w:pPr>
            <w:r/>
            <w:r>
              <w:rPr>
                <w:b w:val="0"/>
                <w:sz w:val="20"/>
              </w:rPr>
              <w:t>0.0423</w:t>
            </w:r>
          </w:p>
        </w:tc>
        <w:tc>
          <w:tcPr>
            <w:tcW w:type="dxa" w:w="1872"/>
            <w:vAlign w:val="center"/>
          </w:tcPr>
          <w:p>
            <w:pPr>
              <w:jc w:val="center"/>
            </w:pPr>
            <w:r/>
            <w:r>
              <w:rPr>
                <w:b w:val="0"/>
                <w:sz w:val="20"/>
              </w:rPr>
              <w:t>0.0420</w:t>
            </w:r>
          </w:p>
        </w:tc>
        <w:tc>
          <w:tcPr>
            <w:tcW w:type="dxa" w:w="1872"/>
            <w:vAlign w:val="center"/>
          </w:tcPr>
          <w:p>
            <w:pPr>
              <w:jc w:val="center"/>
            </w:pPr>
            <w:r/>
            <w:r>
              <w:rPr>
                <w:b w:val="0"/>
                <w:sz w:val="20"/>
              </w:rPr>
              <w:t>0.9911</w:t>
            </w:r>
          </w:p>
        </w:tc>
      </w:tr>
      <w:tr>
        <w:tc>
          <w:tcPr>
            <w:tcW w:type="dxa" w:w="1872"/>
            <w:vAlign w:val="center"/>
          </w:tcPr>
          <w:p>
            <w:pPr>
              <w:jc w:val="left"/>
            </w:pPr>
            <w:r/>
            <w:r>
              <w:rPr>
                <w:b w:val="0"/>
                <w:sz w:val="20"/>
              </w:rPr>
              <w:t>SVM (RBF)</w:t>
            </w:r>
          </w:p>
        </w:tc>
        <w:tc>
          <w:tcPr>
            <w:tcW w:type="dxa" w:w="1872"/>
            <w:vAlign w:val="center"/>
          </w:tcPr>
          <w:p>
            <w:pPr>
              <w:jc w:val="center"/>
            </w:pPr>
            <w:r/>
            <w:r>
              <w:rPr>
                <w:b w:val="0"/>
                <w:sz w:val="20"/>
              </w:rPr>
              <w:t>0.0444</w:t>
            </w:r>
          </w:p>
        </w:tc>
        <w:tc>
          <w:tcPr>
            <w:tcW w:type="dxa" w:w="1872"/>
            <w:vAlign w:val="center"/>
          </w:tcPr>
          <w:p>
            <w:pPr>
              <w:jc w:val="center"/>
            </w:pPr>
            <w:r/>
            <w:r>
              <w:rPr>
                <w:b w:val="0"/>
                <w:sz w:val="20"/>
              </w:rPr>
              <w:t>0.0446</w:t>
            </w:r>
          </w:p>
        </w:tc>
        <w:tc>
          <w:tcPr>
            <w:tcW w:type="dxa" w:w="1872"/>
            <w:vAlign w:val="center"/>
          </w:tcPr>
          <w:p>
            <w:pPr>
              <w:jc w:val="center"/>
            </w:pPr>
            <w:r/>
            <w:r>
              <w:rPr>
                <w:b w:val="0"/>
                <w:sz w:val="20"/>
              </w:rPr>
              <w:t>0.0441</w:t>
            </w:r>
          </w:p>
        </w:tc>
        <w:tc>
          <w:tcPr>
            <w:tcW w:type="dxa" w:w="1872"/>
            <w:vAlign w:val="center"/>
          </w:tcPr>
          <w:p>
            <w:pPr>
              <w:jc w:val="center"/>
            </w:pPr>
            <w:r/>
            <w:r>
              <w:rPr>
                <w:b w:val="0"/>
                <w:sz w:val="20"/>
              </w:rPr>
              <w:t>0.9882</w:t>
            </w:r>
          </w:p>
        </w:tc>
      </w:tr>
      <w:tr>
        <w:tc>
          <w:tcPr>
            <w:tcW w:type="dxa" w:w="1872"/>
            <w:vAlign w:val="center"/>
          </w:tcPr>
          <w:p>
            <w:pPr>
              <w:jc w:val="left"/>
            </w:pPr>
            <w:r/>
            <w:r>
              <w:rPr>
                <w:b w:val="0"/>
                <w:sz w:val="20"/>
              </w:rPr>
              <w:t>MLP</w:t>
            </w:r>
          </w:p>
        </w:tc>
        <w:tc>
          <w:tcPr>
            <w:tcW w:type="dxa" w:w="1872"/>
            <w:vAlign w:val="center"/>
          </w:tcPr>
          <w:p>
            <w:pPr>
              <w:jc w:val="center"/>
            </w:pPr>
            <w:r/>
            <w:r>
              <w:rPr>
                <w:b w:val="0"/>
                <w:sz w:val="20"/>
              </w:rPr>
              <w:t>0.0454</w:t>
            </w:r>
          </w:p>
        </w:tc>
        <w:tc>
          <w:tcPr>
            <w:tcW w:type="dxa" w:w="1872"/>
            <w:vAlign w:val="center"/>
          </w:tcPr>
          <w:p>
            <w:pPr>
              <w:jc w:val="center"/>
            </w:pPr>
            <w:r/>
            <w:r>
              <w:rPr>
                <w:b w:val="0"/>
                <w:sz w:val="20"/>
              </w:rPr>
              <w:t>0.0450</w:t>
            </w:r>
          </w:p>
        </w:tc>
        <w:tc>
          <w:tcPr>
            <w:tcW w:type="dxa" w:w="1872"/>
            <w:vAlign w:val="center"/>
          </w:tcPr>
          <w:p>
            <w:pPr>
              <w:jc w:val="center"/>
            </w:pPr>
            <w:r/>
            <w:r>
              <w:rPr>
                <w:b w:val="0"/>
                <w:sz w:val="20"/>
              </w:rPr>
              <w:t>0.0457</w:t>
            </w:r>
          </w:p>
        </w:tc>
        <w:tc>
          <w:tcPr>
            <w:tcW w:type="dxa" w:w="1872"/>
            <w:vAlign w:val="center"/>
          </w:tcPr>
          <w:p>
            <w:pPr>
              <w:jc w:val="center"/>
            </w:pPr>
            <w:r/>
            <w:r>
              <w:rPr>
                <w:b w:val="0"/>
                <w:sz w:val="20"/>
              </w:rPr>
              <w:t>0.9878</w:t>
            </w:r>
          </w:p>
        </w:tc>
      </w:tr>
      <w:tr>
        <w:tc>
          <w:tcPr>
            <w:tcW w:type="dxa" w:w="1872"/>
            <w:vAlign w:val="center"/>
          </w:tcPr>
          <w:p>
            <w:pPr>
              <w:jc w:val="left"/>
            </w:pPr>
            <w:r/>
            <w:r>
              <w:rPr>
                <w:b w:val="0"/>
                <w:sz w:val="20"/>
              </w:rPr>
              <w:t>ProfileMatcher_GP</w:t>
            </w:r>
          </w:p>
        </w:tc>
        <w:tc>
          <w:tcPr>
            <w:tcW w:type="dxa" w:w="1872"/>
            <w:vAlign w:val="center"/>
          </w:tcPr>
          <w:p>
            <w:pPr>
              <w:jc w:val="center"/>
            </w:pPr>
            <w:r/>
            <w:r>
              <w:rPr>
                <w:b w:val="0"/>
                <w:sz w:val="20"/>
              </w:rPr>
              <w:t>0.0498</w:t>
            </w:r>
          </w:p>
        </w:tc>
        <w:tc>
          <w:tcPr>
            <w:tcW w:type="dxa" w:w="1872"/>
            <w:vAlign w:val="center"/>
          </w:tcPr>
          <w:p>
            <w:pPr>
              <w:jc w:val="center"/>
            </w:pPr>
            <w:r/>
            <w:r>
              <w:rPr>
                <w:b w:val="0"/>
                <w:sz w:val="20"/>
              </w:rPr>
              <w:t>0.0505</w:t>
            </w:r>
          </w:p>
        </w:tc>
        <w:tc>
          <w:tcPr>
            <w:tcW w:type="dxa" w:w="1872"/>
            <w:vAlign w:val="center"/>
          </w:tcPr>
          <w:p>
            <w:pPr>
              <w:jc w:val="center"/>
            </w:pPr>
            <w:r/>
            <w:r>
              <w:rPr>
                <w:b w:val="0"/>
                <w:sz w:val="20"/>
              </w:rPr>
              <w:t>0.0490</w:t>
            </w:r>
          </w:p>
        </w:tc>
        <w:tc>
          <w:tcPr>
            <w:tcW w:type="dxa" w:w="1872"/>
            <w:vAlign w:val="center"/>
          </w:tcPr>
          <w:p>
            <w:pPr>
              <w:jc w:val="center"/>
            </w:pPr>
            <w:r/>
            <w:r>
              <w:rPr>
                <w:b w:val="0"/>
                <w:sz w:val="20"/>
              </w:rPr>
              <w:t>0.9881</w:t>
            </w:r>
          </w:p>
        </w:tc>
      </w:tr>
      <w:tr>
        <w:tc>
          <w:tcPr>
            <w:tcW w:type="dxa" w:w="1872"/>
            <w:vAlign w:val="center"/>
          </w:tcPr>
          <w:p>
            <w:pPr>
              <w:jc w:val="left"/>
            </w:pPr>
            <w:r/>
            <w:r>
              <w:rPr>
                <w:b w:val="0"/>
                <w:sz w:val="20"/>
              </w:rPr>
              <w:t>Logistic Regression</w:t>
            </w:r>
          </w:p>
        </w:tc>
        <w:tc>
          <w:tcPr>
            <w:tcW w:type="dxa" w:w="1872"/>
            <w:vAlign w:val="center"/>
          </w:tcPr>
          <w:p>
            <w:pPr>
              <w:jc w:val="center"/>
            </w:pPr>
            <w:r/>
            <w:r>
              <w:rPr>
                <w:b w:val="0"/>
                <w:sz w:val="20"/>
              </w:rPr>
              <w:t>0.0583</w:t>
            </w:r>
          </w:p>
        </w:tc>
        <w:tc>
          <w:tcPr>
            <w:tcW w:type="dxa" w:w="1872"/>
            <w:vAlign w:val="center"/>
          </w:tcPr>
          <w:p>
            <w:pPr>
              <w:jc w:val="center"/>
            </w:pPr>
            <w:r/>
            <w:r>
              <w:rPr>
                <w:b w:val="0"/>
                <w:sz w:val="20"/>
              </w:rPr>
              <w:t>0.0580</w:t>
            </w:r>
          </w:p>
        </w:tc>
        <w:tc>
          <w:tcPr>
            <w:tcW w:type="dxa" w:w="1872"/>
            <w:vAlign w:val="center"/>
          </w:tcPr>
          <w:p>
            <w:pPr>
              <w:jc w:val="center"/>
            </w:pPr>
            <w:r/>
            <w:r>
              <w:rPr>
                <w:b w:val="0"/>
                <w:sz w:val="20"/>
              </w:rPr>
              <w:t>0.0586</w:t>
            </w:r>
          </w:p>
        </w:tc>
        <w:tc>
          <w:tcPr>
            <w:tcW w:type="dxa" w:w="1872"/>
            <w:vAlign w:val="center"/>
          </w:tcPr>
          <w:p>
            <w:pPr>
              <w:jc w:val="center"/>
            </w:pPr>
            <w:r/>
            <w:r>
              <w:rPr>
                <w:b w:val="0"/>
                <w:sz w:val="20"/>
              </w:rPr>
              <w:t>0.9794</w:t>
            </w:r>
          </w:p>
        </w:tc>
      </w:tr>
      <w:tr>
        <w:tc>
          <w:tcPr>
            <w:tcW w:type="dxa" w:w="1872"/>
            <w:vAlign w:val="center"/>
          </w:tcPr>
          <w:p>
            <w:pPr>
              <w:jc w:val="left"/>
            </w:pPr>
            <w:r/>
            <w:r>
              <w:rPr>
                <w:b w:val="0"/>
                <w:sz w:val="20"/>
              </w:rPr>
              <w:t>Gradient Boosting</w:t>
            </w:r>
          </w:p>
        </w:tc>
        <w:tc>
          <w:tcPr>
            <w:tcW w:type="dxa" w:w="1872"/>
            <w:vAlign w:val="center"/>
          </w:tcPr>
          <w:p>
            <w:pPr>
              <w:jc w:val="center"/>
            </w:pPr>
            <w:r/>
            <w:r>
              <w:rPr>
                <w:b w:val="0"/>
                <w:sz w:val="20"/>
              </w:rPr>
              <w:t>0.0611</w:t>
            </w:r>
          </w:p>
        </w:tc>
        <w:tc>
          <w:tcPr>
            <w:tcW w:type="dxa" w:w="1872"/>
            <w:vAlign w:val="center"/>
          </w:tcPr>
          <w:p>
            <w:pPr>
              <w:jc w:val="center"/>
            </w:pPr>
            <w:r/>
            <w:r>
              <w:rPr>
                <w:b w:val="0"/>
                <w:sz w:val="20"/>
              </w:rPr>
              <w:t>0.0610</w:t>
            </w:r>
          </w:p>
        </w:tc>
        <w:tc>
          <w:tcPr>
            <w:tcW w:type="dxa" w:w="1872"/>
            <w:vAlign w:val="center"/>
          </w:tcPr>
          <w:p>
            <w:pPr>
              <w:jc w:val="center"/>
            </w:pPr>
            <w:r/>
            <w:r>
              <w:rPr>
                <w:b w:val="0"/>
                <w:sz w:val="20"/>
              </w:rPr>
              <w:t>0.0612</w:t>
            </w:r>
          </w:p>
        </w:tc>
        <w:tc>
          <w:tcPr>
            <w:tcW w:type="dxa" w:w="1872"/>
            <w:vAlign w:val="center"/>
          </w:tcPr>
          <w:p>
            <w:pPr>
              <w:jc w:val="center"/>
            </w:pPr>
            <w:r/>
            <w:r>
              <w:rPr>
                <w:b w:val="0"/>
                <w:sz w:val="20"/>
              </w:rPr>
              <w:t>0.9724</w:t>
            </w:r>
          </w:p>
        </w:tc>
      </w:tr>
      <w:tr>
        <w:tc>
          <w:tcPr>
            <w:tcW w:type="dxa" w:w="1872"/>
            <w:vAlign w:val="center"/>
          </w:tcPr>
          <w:p>
            <w:pPr>
              <w:jc w:val="left"/>
            </w:pPr>
            <w:r/>
            <w:r>
              <w:rPr>
                <w:b w:val="0"/>
                <w:sz w:val="20"/>
              </w:rPr>
              <w:t>One-Class SVM</w:t>
            </w:r>
          </w:p>
        </w:tc>
        <w:tc>
          <w:tcPr>
            <w:tcW w:type="dxa" w:w="1872"/>
            <w:vAlign w:val="center"/>
          </w:tcPr>
          <w:p>
            <w:pPr>
              <w:jc w:val="center"/>
            </w:pPr>
            <w:r/>
            <w:r>
              <w:rPr>
                <w:b w:val="0"/>
                <w:sz w:val="20"/>
              </w:rPr>
              <w:t>0.1056</w:t>
            </w:r>
          </w:p>
        </w:tc>
        <w:tc>
          <w:tcPr>
            <w:tcW w:type="dxa" w:w="1872"/>
            <w:vAlign w:val="center"/>
          </w:tcPr>
          <w:p>
            <w:pPr>
              <w:jc w:val="center"/>
            </w:pPr>
            <w:r/>
            <w:r>
              <w:rPr>
                <w:b w:val="0"/>
                <w:sz w:val="20"/>
              </w:rPr>
              <w:t>0.1053</w:t>
            </w:r>
          </w:p>
        </w:tc>
        <w:tc>
          <w:tcPr>
            <w:tcW w:type="dxa" w:w="1872"/>
            <w:vAlign w:val="center"/>
          </w:tcPr>
          <w:p>
            <w:pPr>
              <w:jc w:val="center"/>
            </w:pPr>
            <w:r/>
            <w:r>
              <w:rPr>
                <w:b w:val="0"/>
                <w:sz w:val="20"/>
              </w:rPr>
              <w:t>0.1059</w:t>
            </w:r>
          </w:p>
        </w:tc>
        <w:tc>
          <w:tcPr>
            <w:tcW w:type="dxa" w:w="1872"/>
            <w:vAlign w:val="center"/>
          </w:tcPr>
          <w:p>
            <w:pPr>
              <w:jc w:val="center"/>
            </w:pPr>
            <w:r/>
            <w:r>
              <w:rPr>
                <w:b w:val="0"/>
                <w:sz w:val="20"/>
              </w:rPr>
              <w:t>0.9456</w:t>
            </w:r>
          </w:p>
        </w:tc>
      </w:tr>
    </w:tbl>
    <w:p>
      <w:pPr>
        <w:jc w:val="both"/>
      </w:pPr>
      <w:r>
        <w:rPr>
          <w:sz w:val="22"/>
        </w:rPr>
        <w:t>On the CMU public benchmark Random Forest reaches an EER of 4.21 % and the kNN Manhattan baseline reaches 3.21 %. The fact that Random Forest dominates on the internal dataset and remains within the top-2 on the public benchmark — agreeing with the performance ceiling reported by Killourhy &amp; Maxion (2009) — supports selecting Random Forest as the production keystroke classifier. ProfileMatcher_GP is retained as a cold-start algorithm for users with fewer than eleven enrollment samples because it is a memory-based matcher that requires no trained classifier.</w:t>
      </w:r>
    </w:p>
    <w:p>
      <w:r>
        <w:rPr>
          <w:b/>
          <w:i/>
          <w:sz w:val="22"/>
        </w:rPr>
        <w:t>4.3.2 Speech Classification Algorithm Comparison</w:t>
      </w:r>
    </w:p>
    <w:p>
      <w:pPr>
        <w:jc w:val="both"/>
      </w:pPr>
      <w:r>
        <w:rPr>
          <w:sz w:val="22"/>
        </w:rPr>
        <w:t>Five speech feature/classifier combinations were evaluated. The internal protocol is intrinsically cross-user: each enrolled user's voice samples are scored against the other enrolled users' real samples — no synthetic impostors and no public data are mixed in.</w:t>
      </w:r>
    </w:p>
    <w:p>
      <w:pPr>
        <w:jc w:val="center"/>
      </w:pPr>
      <w:r>
        <w:rPr>
          <w:b/>
          <w:sz w:val="22"/>
        </w:rPr>
        <w:t>Table 4.3. Speech Algorithm Comparison — Internal Protocol (n = 17 users)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
              <w:rPr>
                <w:b/>
                <w:sz w:val="20"/>
              </w:rPr>
              <w:t>Algorithm</w:t>
            </w:r>
          </w:p>
        </w:tc>
        <w:tc>
          <w:tcPr>
            <w:tcW w:type="dxa" w:w="1560"/>
            <w:vAlign w:val="center"/>
          </w:tcPr>
          <w:p>
            <w:pPr>
              <w:jc w:val="center"/>
            </w:pPr>
            <w:r/>
            <w:r>
              <w:rPr>
                <w:b/>
                <w:sz w:val="20"/>
              </w:rPr>
              <w:t>Mean EER</w:t>
            </w:r>
          </w:p>
        </w:tc>
        <w:tc>
          <w:tcPr>
            <w:tcW w:type="dxa" w:w="1560"/>
            <w:vAlign w:val="center"/>
          </w:tcPr>
          <w:p>
            <w:pPr>
              <w:jc w:val="center"/>
            </w:pPr>
            <w:r/>
            <w:r>
              <w:rPr>
                <w:b/>
                <w:sz w:val="20"/>
              </w:rPr>
              <w:t>Std</w:t>
            </w:r>
          </w:p>
        </w:tc>
        <w:tc>
          <w:tcPr>
            <w:tcW w:type="dxa" w:w="1560"/>
            <w:vAlign w:val="center"/>
          </w:tcPr>
          <w:p>
            <w:pPr>
              <w:jc w:val="center"/>
            </w:pPr>
            <w:r/>
            <w:r>
              <w:rPr>
                <w:b/>
                <w:sz w:val="20"/>
              </w:rPr>
              <w:t>Min</w:t>
            </w:r>
          </w:p>
        </w:tc>
        <w:tc>
          <w:tcPr>
            <w:tcW w:type="dxa" w:w="1560"/>
            <w:vAlign w:val="center"/>
          </w:tcPr>
          <w:p>
            <w:pPr>
              <w:jc w:val="center"/>
            </w:pPr>
            <w:r/>
            <w:r>
              <w:rPr>
                <w:b/>
                <w:sz w:val="20"/>
              </w:rPr>
              <w:t>Max</w:t>
            </w:r>
          </w:p>
        </w:tc>
        <w:tc>
          <w:tcPr>
            <w:tcW w:type="dxa" w:w="1560"/>
            <w:vAlign w:val="center"/>
          </w:tcPr>
          <w:p>
            <w:pPr>
              <w:jc w:val="center"/>
            </w:pPr>
            <w:r/>
            <w:r>
              <w:rPr>
                <w:b/>
                <w:sz w:val="20"/>
              </w:rPr>
              <w:t>Mean AUC</w:t>
            </w:r>
          </w:p>
        </w:tc>
      </w:tr>
      <w:tr>
        <w:tc>
          <w:tcPr>
            <w:tcW w:type="dxa" w:w="1560"/>
            <w:vAlign w:val="center"/>
          </w:tcPr>
          <w:p>
            <w:pPr>
              <w:jc w:val="left"/>
            </w:pPr>
            <w:r/>
            <w:r>
              <w:rPr>
                <w:b w:val="0"/>
                <w:sz w:val="20"/>
              </w:rPr>
              <w:t>ECAPA-TDNN + Cosine (Selected)</w:t>
            </w:r>
          </w:p>
        </w:tc>
        <w:tc>
          <w:tcPr>
            <w:tcW w:type="dxa" w:w="1560"/>
            <w:vAlign w:val="center"/>
          </w:tcPr>
          <w:p>
            <w:pPr>
              <w:jc w:val="center"/>
            </w:pPr>
            <w:r/>
            <w:r>
              <w:rPr>
                <w:b w:val="0"/>
                <w:sz w:val="20"/>
              </w:rPr>
              <w:t>0.0003</w:t>
            </w:r>
          </w:p>
        </w:tc>
        <w:tc>
          <w:tcPr>
            <w:tcW w:type="dxa" w:w="1560"/>
            <w:vAlign w:val="center"/>
          </w:tcPr>
          <w:p>
            <w:pPr>
              <w:jc w:val="center"/>
            </w:pPr>
            <w:r/>
            <w:r>
              <w:rPr>
                <w:b w:val="0"/>
                <w:sz w:val="20"/>
              </w:rPr>
              <w:t>0.0011</w:t>
            </w:r>
          </w:p>
        </w:tc>
        <w:tc>
          <w:tcPr>
            <w:tcW w:type="dxa" w:w="1560"/>
            <w:vAlign w:val="center"/>
          </w:tcPr>
          <w:p>
            <w:pPr>
              <w:jc w:val="center"/>
            </w:pPr>
            <w:r/>
            <w:r>
              <w:rPr>
                <w:b w:val="0"/>
                <w:sz w:val="20"/>
              </w:rPr>
              <w:t>0.0000</w:t>
            </w:r>
          </w:p>
        </w:tc>
        <w:tc>
          <w:tcPr>
            <w:tcW w:type="dxa" w:w="1560"/>
            <w:vAlign w:val="center"/>
          </w:tcPr>
          <w:p>
            <w:pPr>
              <w:jc w:val="center"/>
            </w:pPr>
            <w:r/>
            <w:r>
              <w:rPr>
                <w:b w:val="0"/>
                <w:sz w:val="20"/>
              </w:rPr>
              <w:t>0.0046</w:t>
            </w:r>
          </w:p>
        </w:tc>
        <w:tc>
          <w:tcPr>
            <w:tcW w:type="dxa" w:w="1560"/>
            <w:vAlign w:val="center"/>
          </w:tcPr>
          <w:p>
            <w:pPr>
              <w:jc w:val="center"/>
            </w:pPr>
            <w:r/>
            <w:r>
              <w:rPr>
                <w:b w:val="0"/>
                <w:sz w:val="20"/>
              </w:rPr>
              <w:t>0.9997</w:t>
            </w:r>
          </w:p>
        </w:tc>
      </w:tr>
      <w:tr>
        <w:tc>
          <w:tcPr>
            <w:tcW w:type="dxa" w:w="1560"/>
            <w:vAlign w:val="center"/>
          </w:tcPr>
          <w:p>
            <w:pPr>
              <w:jc w:val="left"/>
            </w:pPr>
            <w:r/>
            <w:r>
              <w:rPr>
                <w:b w:val="0"/>
                <w:sz w:val="20"/>
              </w:rPr>
              <w:t>MFCC + kNN (Manhattan)</w:t>
            </w:r>
          </w:p>
        </w:tc>
        <w:tc>
          <w:tcPr>
            <w:tcW w:type="dxa" w:w="1560"/>
            <w:vAlign w:val="center"/>
          </w:tcPr>
          <w:p>
            <w:pPr>
              <w:jc w:val="center"/>
            </w:pPr>
            <w:r/>
            <w:r>
              <w:rPr>
                <w:b w:val="0"/>
                <w:sz w:val="20"/>
              </w:rPr>
              <w:t>0.4344</w:t>
            </w:r>
          </w:p>
        </w:tc>
        <w:tc>
          <w:tcPr>
            <w:tcW w:type="dxa" w:w="1560"/>
            <w:vAlign w:val="center"/>
          </w:tcPr>
          <w:p>
            <w:pPr>
              <w:jc w:val="center"/>
            </w:pPr>
            <w:r/>
            <w:r>
              <w:rPr>
                <w:b w:val="0"/>
                <w:sz w:val="20"/>
              </w:rPr>
              <w:t>0.1291</w:t>
            </w:r>
          </w:p>
        </w:tc>
        <w:tc>
          <w:tcPr>
            <w:tcW w:type="dxa" w:w="1560"/>
            <w:vAlign w:val="center"/>
          </w:tcPr>
          <w:p>
            <w:pPr>
              <w:jc w:val="center"/>
            </w:pPr>
            <w:r/>
            <w:r>
              <w:rPr>
                <w:b w:val="0"/>
                <w:sz w:val="20"/>
              </w:rPr>
              <w:t>0.1667</w:t>
            </w:r>
          </w:p>
        </w:tc>
        <w:tc>
          <w:tcPr>
            <w:tcW w:type="dxa" w:w="1560"/>
            <w:vAlign w:val="center"/>
          </w:tcPr>
          <w:p>
            <w:pPr>
              <w:jc w:val="center"/>
            </w:pPr>
            <w:r/>
            <w:r>
              <w:rPr>
                <w:b w:val="0"/>
                <w:sz w:val="20"/>
              </w:rPr>
              <w:t>0.6042</w:t>
            </w:r>
          </w:p>
        </w:tc>
        <w:tc>
          <w:tcPr>
            <w:tcW w:type="dxa" w:w="1560"/>
            <w:vAlign w:val="center"/>
          </w:tcPr>
          <w:p>
            <w:pPr>
              <w:jc w:val="center"/>
            </w:pPr>
            <w:r/>
            <w:r>
              <w:rPr>
                <w:b w:val="0"/>
                <w:sz w:val="20"/>
              </w:rPr>
              <w:t>0.5637</w:t>
            </w:r>
          </w:p>
        </w:tc>
      </w:tr>
      <w:tr>
        <w:tc>
          <w:tcPr>
            <w:tcW w:type="dxa" w:w="1560"/>
            <w:vAlign w:val="center"/>
          </w:tcPr>
          <w:p>
            <w:pPr>
              <w:jc w:val="left"/>
            </w:pPr>
            <w:r/>
            <w:r>
              <w:rPr>
                <w:b w:val="0"/>
                <w:sz w:val="20"/>
              </w:rPr>
              <w:t>MFCC + Cosine</w:t>
            </w:r>
          </w:p>
        </w:tc>
        <w:tc>
          <w:tcPr>
            <w:tcW w:type="dxa" w:w="1560"/>
            <w:vAlign w:val="center"/>
          </w:tcPr>
          <w:p>
            <w:pPr>
              <w:jc w:val="center"/>
            </w:pPr>
            <w:r/>
            <w:r>
              <w:rPr>
                <w:b w:val="0"/>
                <w:sz w:val="20"/>
              </w:rPr>
              <w:t>0.5061</w:t>
            </w:r>
          </w:p>
        </w:tc>
        <w:tc>
          <w:tcPr>
            <w:tcW w:type="dxa" w:w="1560"/>
            <w:vAlign w:val="center"/>
          </w:tcPr>
          <w:p>
            <w:pPr>
              <w:jc w:val="center"/>
            </w:pPr>
            <w:r/>
            <w:r>
              <w:rPr>
                <w:b w:val="0"/>
                <w:sz w:val="20"/>
              </w:rPr>
              <w:t>0.2459</w:t>
            </w:r>
          </w:p>
        </w:tc>
        <w:tc>
          <w:tcPr>
            <w:tcW w:type="dxa" w:w="1560"/>
            <w:vAlign w:val="center"/>
          </w:tcPr>
          <w:p>
            <w:pPr>
              <w:jc w:val="center"/>
            </w:pPr>
            <w:r/>
            <w:r>
              <w:rPr>
                <w:b w:val="0"/>
                <w:sz w:val="20"/>
              </w:rPr>
              <w:t>0.0625</w:t>
            </w:r>
          </w:p>
        </w:tc>
        <w:tc>
          <w:tcPr>
            <w:tcW w:type="dxa" w:w="1560"/>
            <w:vAlign w:val="center"/>
          </w:tcPr>
          <w:p>
            <w:pPr>
              <w:jc w:val="center"/>
            </w:pPr>
            <w:r/>
            <w:r>
              <w:rPr>
                <w:b w:val="0"/>
                <w:sz w:val="20"/>
              </w:rPr>
              <w:t>1.0000</w:t>
            </w:r>
          </w:p>
        </w:tc>
        <w:tc>
          <w:tcPr>
            <w:tcW w:type="dxa" w:w="1560"/>
            <w:vAlign w:val="center"/>
          </w:tcPr>
          <w:p>
            <w:pPr>
              <w:jc w:val="center"/>
            </w:pPr>
            <w:r/>
            <w:r>
              <w:rPr>
                <w:b w:val="0"/>
                <w:sz w:val="20"/>
              </w:rPr>
              <w:t>0.5004</w:t>
            </w:r>
          </w:p>
        </w:tc>
      </w:tr>
      <w:tr>
        <w:tc>
          <w:tcPr>
            <w:tcW w:type="dxa" w:w="1560"/>
            <w:vAlign w:val="center"/>
          </w:tcPr>
          <w:p>
            <w:pPr>
              <w:jc w:val="left"/>
            </w:pPr>
            <w:r/>
            <w:r>
              <w:rPr>
                <w:b w:val="0"/>
                <w:sz w:val="20"/>
              </w:rPr>
              <w:t>MFCC + SVM (RBF)</w:t>
            </w:r>
          </w:p>
        </w:tc>
        <w:tc>
          <w:tcPr>
            <w:tcW w:type="dxa" w:w="1560"/>
            <w:vAlign w:val="center"/>
          </w:tcPr>
          <w:p>
            <w:pPr>
              <w:jc w:val="center"/>
            </w:pPr>
            <w:r/>
            <w:r>
              <w:rPr>
                <w:b w:val="0"/>
                <w:sz w:val="20"/>
              </w:rPr>
              <w:t>0.7065</w:t>
            </w:r>
          </w:p>
        </w:tc>
        <w:tc>
          <w:tcPr>
            <w:tcW w:type="dxa" w:w="1560"/>
            <w:vAlign w:val="center"/>
          </w:tcPr>
          <w:p>
            <w:pPr>
              <w:jc w:val="center"/>
            </w:pPr>
            <w:r/>
            <w:r>
              <w:rPr>
                <w:b w:val="0"/>
                <w:sz w:val="20"/>
              </w:rPr>
              <w:t>0.2924</w:t>
            </w:r>
          </w:p>
        </w:tc>
        <w:tc>
          <w:tcPr>
            <w:tcW w:type="dxa" w:w="1560"/>
            <w:vAlign w:val="center"/>
          </w:tcPr>
          <w:p>
            <w:pPr>
              <w:jc w:val="center"/>
            </w:pPr>
            <w:r/>
            <w:r>
              <w:rPr>
                <w:b w:val="0"/>
                <w:sz w:val="20"/>
              </w:rPr>
              <w:t>0.0000</w:t>
            </w:r>
          </w:p>
        </w:tc>
        <w:tc>
          <w:tcPr>
            <w:tcW w:type="dxa" w:w="1560"/>
            <w:vAlign w:val="center"/>
          </w:tcPr>
          <w:p>
            <w:pPr>
              <w:jc w:val="center"/>
            </w:pPr>
            <w:r/>
            <w:r>
              <w:rPr>
                <w:b w:val="0"/>
                <w:sz w:val="20"/>
              </w:rPr>
              <w:t>1.0000</w:t>
            </w:r>
          </w:p>
        </w:tc>
        <w:tc>
          <w:tcPr>
            <w:tcW w:type="dxa" w:w="1560"/>
            <w:vAlign w:val="center"/>
          </w:tcPr>
          <w:p>
            <w:pPr>
              <w:jc w:val="center"/>
            </w:pPr>
            <w:r/>
            <w:r>
              <w:rPr>
                <w:b w:val="0"/>
                <w:sz w:val="20"/>
              </w:rPr>
              <w:t>0.3137</w:t>
            </w:r>
          </w:p>
        </w:tc>
      </w:tr>
      <w:tr>
        <w:tc>
          <w:tcPr>
            <w:tcW w:type="dxa" w:w="1560"/>
            <w:vAlign w:val="center"/>
          </w:tcPr>
          <w:p>
            <w:pPr>
              <w:jc w:val="left"/>
            </w:pPr>
            <w:r/>
            <w:r>
              <w:rPr>
                <w:b w:val="0"/>
                <w:sz w:val="20"/>
              </w:rPr>
              <w:t>MFCC + GMM</w:t>
            </w:r>
          </w:p>
        </w:tc>
        <w:tc>
          <w:tcPr>
            <w:tcW w:type="dxa" w:w="1560"/>
            <w:vAlign w:val="center"/>
          </w:tcPr>
          <w:p>
            <w:pPr>
              <w:jc w:val="center"/>
            </w:pPr>
            <w:r/>
            <w:r>
              <w:rPr>
                <w:b w:val="0"/>
                <w:sz w:val="20"/>
              </w:rPr>
              <w:t>0.7972</w:t>
            </w:r>
          </w:p>
        </w:tc>
        <w:tc>
          <w:tcPr>
            <w:tcW w:type="dxa" w:w="1560"/>
            <w:vAlign w:val="center"/>
          </w:tcPr>
          <w:p>
            <w:pPr>
              <w:jc w:val="center"/>
            </w:pPr>
            <w:r/>
            <w:r>
              <w:rPr>
                <w:b w:val="0"/>
                <w:sz w:val="20"/>
              </w:rPr>
              <w:t>0.2294</w:t>
            </w:r>
          </w:p>
        </w:tc>
        <w:tc>
          <w:tcPr>
            <w:tcW w:type="dxa" w:w="1560"/>
            <w:vAlign w:val="center"/>
          </w:tcPr>
          <w:p>
            <w:pPr>
              <w:jc w:val="center"/>
            </w:pPr>
            <w:r/>
            <w:r>
              <w:rPr>
                <w:b w:val="0"/>
                <w:sz w:val="20"/>
              </w:rPr>
              <w:t>0.2812</w:t>
            </w:r>
          </w:p>
        </w:tc>
        <w:tc>
          <w:tcPr>
            <w:tcW w:type="dxa" w:w="1560"/>
            <w:vAlign w:val="center"/>
          </w:tcPr>
          <w:p>
            <w:pPr>
              <w:jc w:val="center"/>
            </w:pPr>
            <w:r/>
            <w:r>
              <w:rPr>
                <w:b w:val="0"/>
                <w:sz w:val="20"/>
              </w:rPr>
              <w:t>1.0000</w:t>
            </w:r>
          </w:p>
        </w:tc>
        <w:tc>
          <w:tcPr>
            <w:tcW w:type="dxa" w:w="1560"/>
            <w:vAlign w:val="center"/>
          </w:tcPr>
          <w:p>
            <w:pPr>
              <w:jc w:val="center"/>
            </w:pPr>
            <w:r/>
            <w:r>
              <w:rPr>
                <w:b w:val="0"/>
                <w:sz w:val="20"/>
              </w:rPr>
              <w:t>0.1516</w:t>
            </w:r>
          </w:p>
        </w:tc>
      </w:tr>
    </w:tbl>
    <w:p>
      <w:pPr>
        <w:jc w:val="both"/>
      </w:pPr>
      <w:r>
        <w:rPr>
          <w:sz w:val="22"/>
        </w:rPr>
        <w:t>ECAPA-TDNN + Cosine reaches a mean EER of 0.03 % on the internal protocol. The classical MFCC baselines collapse on the internal dataset (EER 43–80 %) because every enrolled speaker reads the same four-word passphrase, so phrase-level acoustic content is identical across speakers — only the fine-grained speaker timbre captured by the deep ECAPA embedding can separate them. To validate that ECAPA's advantage is not an artefact of the small enrolled set, the same algorithms were evaluated on the LibriSpeech dev-clean corpus (40 speakers).</w:t>
      </w:r>
    </w:p>
    <w:p>
      <w:pPr>
        <w:jc w:val="center"/>
      </w:pPr>
      <w:r>
        <w:rPr>
          <w:b/>
          <w:sz w:val="22"/>
        </w:rPr>
        <w:t>Table 4.4. Speech Algorithm Comparison — External LibriSpeech Benchmark (n = 40 speakers)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
              <w:rPr>
                <w:b/>
                <w:sz w:val="20"/>
              </w:rPr>
              <w:t>Algorithm</w:t>
            </w:r>
          </w:p>
        </w:tc>
        <w:tc>
          <w:tcPr>
            <w:tcW w:type="dxa" w:w="1872"/>
            <w:vAlign w:val="center"/>
          </w:tcPr>
          <w:p>
            <w:pPr>
              <w:jc w:val="center"/>
            </w:pPr>
            <w:r/>
            <w:r>
              <w:rPr>
                <w:b/>
                <w:sz w:val="20"/>
              </w:rPr>
              <w:t>Mean EER</w:t>
            </w:r>
          </w:p>
        </w:tc>
        <w:tc>
          <w:tcPr>
            <w:tcW w:type="dxa" w:w="1872"/>
            <w:vAlign w:val="center"/>
          </w:tcPr>
          <w:p>
            <w:pPr>
              <w:jc w:val="center"/>
            </w:pPr>
            <w:r/>
            <w:r>
              <w:rPr>
                <w:b/>
                <w:sz w:val="20"/>
              </w:rPr>
              <w:t>Mean FAR</w:t>
            </w:r>
          </w:p>
        </w:tc>
        <w:tc>
          <w:tcPr>
            <w:tcW w:type="dxa" w:w="1872"/>
            <w:vAlign w:val="center"/>
          </w:tcPr>
          <w:p>
            <w:pPr>
              <w:jc w:val="center"/>
            </w:pPr>
            <w:r/>
            <w:r>
              <w:rPr>
                <w:b/>
                <w:sz w:val="20"/>
              </w:rPr>
              <w:t>Mean FRR</w:t>
            </w:r>
          </w:p>
        </w:tc>
        <w:tc>
          <w:tcPr>
            <w:tcW w:type="dxa" w:w="1872"/>
            <w:vAlign w:val="center"/>
          </w:tcPr>
          <w:p>
            <w:pPr>
              <w:jc w:val="center"/>
            </w:pPr>
            <w:r/>
            <w:r>
              <w:rPr>
                <w:b/>
                <w:sz w:val="20"/>
              </w:rPr>
              <w:t>Mean AUC</w:t>
            </w:r>
          </w:p>
        </w:tc>
      </w:tr>
      <w:tr>
        <w:tc>
          <w:tcPr>
            <w:tcW w:type="dxa" w:w="1872"/>
            <w:vAlign w:val="center"/>
          </w:tcPr>
          <w:p>
            <w:pPr>
              <w:jc w:val="left"/>
            </w:pPr>
            <w:r/>
            <w:r>
              <w:rPr>
                <w:b w:val="0"/>
                <w:sz w:val="20"/>
              </w:rPr>
              <w:t>ECAPA-TDNN + Cosine (Selected)</w:t>
            </w:r>
          </w:p>
        </w:tc>
        <w:tc>
          <w:tcPr>
            <w:tcW w:type="dxa" w:w="1872"/>
            <w:vAlign w:val="center"/>
          </w:tcPr>
          <w:p>
            <w:pPr>
              <w:jc w:val="center"/>
            </w:pPr>
            <w:r/>
            <w:r>
              <w:rPr>
                <w:b w:val="0"/>
                <w:sz w:val="20"/>
              </w:rPr>
              <w:t>0.0004</w:t>
            </w:r>
          </w:p>
        </w:tc>
        <w:tc>
          <w:tcPr>
            <w:tcW w:type="dxa" w:w="1872"/>
            <w:vAlign w:val="center"/>
          </w:tcPr>
          <w:p>
            <w:pPr>
              <w:jc w:val="center"/>
            </w:pPr>
            <w:r/>
            <w:r>
              <w:rPr>
                <w:b w:val="0"/>
                <w:sz w:val="20"/>
              </w:rPr>
              <w:t>0.0009</w:t>
            </w:r>
          </w:p>
        </w:tc>
        <w:tc>
          <w:tcPr>
            <w:tcW w:type="dxa" w:w="1872"/>
            <w:vAlign w:val="center"/>
          </w:tcPr>
          <w:p>
            <w:pPr>
              <w:jc w:val="center"/>
            </w:pPr>
            <w:r/>
            <w:r>
              <w:rPr>
                <w:b w:val="0"/>
                <w:sz w:val="20"/>
              </w:rPr>
              <w:t>0.0000</w:t>
            </w:r>
          </w:p>
        </w:tc>
        <w:tc>
          <w:tcPr>
            <w:tcW w:type="dxa" w:w="1872"/>
            <w:vAlign w:val="center"/>
          </w:tcPr>
          <w:p>
            <w:pPr>
              <w:jc w:val="center"/>
            </w:pPr>
            <w:r/>
            <w:r>
              <w:rPr>
                <w:b w:val="0"/>
                <w:sz w:val="20"/>
              </w:rPr>
              <w:t>0.9999</w:t>
            </w:r>
          </w:p>
        </w:tc>
      </w:tr>
      <w:tr>
        <w:tc>
          <w:tcPr>
            <w:tcW w:type="dxa" w:w="1872"/>
            <w:vAlign w:val="center"/>
          </w:tcPr>
          <w:p>
            <w:pPr>
              <w:jc w:val="left"/>
            </w:pPr>
            <w:r/>
            <w:r>
              <w:rPr>
                <w:b w:val="0"/>
                <w:sz w:val="20"/>
              </w:rPr>
              <w:t>MFCC + Cosine</w:t>
            </w:r>
          </w:p>
        </w:tc>
        <w:tc>
          <w:tcPr>
            <w:tcW w:type="dxa" w:w="1872"/>
            <w:vAlign w:val="center"/>
          </w:tcPr>
          <w:p>
            <w:pPr>
              <w:jc w:val="center"/>
            </w:pPr>
            <w:r/>
            <w:r>
              <w:rPr>
                <w:b w:val="0"/>
                <w:sz w:val="20"/>
              </w:rPr>
              <w:t>0.0471</w:t>
            </w:r>
          </w:p>
        </w:tc>
        <w:tc>
          <w:tcPr>
            <w:tcW w:type="dxa" w:w="1872"/>
            <w:vAlign w:val="center"/>
          </w:tcPr>
          <w:p>
            <w:pPr>
              <w:jc w:val="center"/>
            </w:pPr>
            <w:r/>
            <w:r>
              <w:rPr>
                <w:b w:val="0"/>
                <w:sz w:val="20"/>
              </w:rPr>
              <w:t>0.0443</w:t>
            </w:r>
          </w:p>
        </w:tc>
        <w:tc>
          <w:tcPr>
            <w:tcW w:type="dxa" w:w="1872"/>
            <w:vAlign w:val="center"/>
          </w:tcPr>
          <w:p>
            <w:pPr>
              <w:jc w:val="center"/>
            </w:pPr>
            <w:r/>
            <w:r>
              <w:rPr>
                <w:b w:val="0"/>
                <w:sz w:val="20"/>
              </w:rPr>
              <w:t>0.0500</w:t>
            </w:r>
          </w:p>
        </w:tc>
        <w:tc>
          <w:tcPr>
            <w:tcW w:type="dxa" w:w="1872"/>
            <w:vAlign w:val="center"/>
          </w:tcPr>
          <w:p>
            <w:pPr>
              <w:jc w:val="center"/>
            </w:pPr>
            <w:r/>
            <w:r>
              <w:rPr>
                <w:b w:val="0"/>
                <w:sz w:val="20"/>
              </w:rPr>
              <w:t>0.9837</w:t>
            </w:r>
          </w:p>
        </w:tc>
      </w:tr>
    </w:tbl>
    <w:p>
      <w:pPr>
        <w:jc w:val="both"/>
      </w:pPr>
      <w:r>
        <w:rPr>
          <w:sz w:val="22"/>
        </w:rPr>
        <w:t>ECAPA-TDNN reaches EER 0.04 % on LibriSpeech with content-varying utterances, consistent with state-of-the-art reported numbers for ECAPA on similar speaker verification tasks. ECAPA-TDNN + cosine similarity was therefore selected as the speech classification component.</w:t>
      </w:r>
    </w:p>
    <w:p>
      <w:r>
        <w:br w:type="page"/>
      </w:r>
    </w:p>
    <w:p>
      <w:r>
        <w:rPr>
          <w:b/>
          <w:sz w:val="24"/>
        </w:rPr>
        <w:t>4.4 Objective 4: Security Performance Evaluation</w:t>
      </w:r>
    </w:p>
    <w:p>
      <w:pPr>
        <w:jc w:val="both"/>
      </w:pPr>
      <w:r>
        <w:rPr>
          <w:sz w:val="22"/>
        </w:rPr>
        <w:t>The fourth objective required evaluating the system's security performance through (a) authentication error metrics (FAR, FRR, EER), (b) classification performance via ROC curve and AUC, and (c) impostor attack resistance via the Impostor Attack Presentation Match Rate (IAPMR). To avoid the inflated error rates that follow from optimistic per-user evaluation with synthetic impostors, three protocols were applied that bracket the system's true error rate from optimistic to realistic.</w:t>
      </w:r>
    </w:p>
    <w:p>
      <w:r>
        <w:rPr>
          <w:b/>
          <w:i/>
          <w:sz w:val="22"/>
        </w:rPr>
        <w:t>4.4.1 Three Evaluation Protocols</w:t>
      </w:r>
    </w:p>
    <w:p>
      <w:pPr>
        <w:jc w:val="both"/>
      </w:pPr>
      <w:r>
        <w:rPr>
          <w:sz w:val="22"/>
        </w:rPr>
        <w:t>Protocol 1 (Internal, full features). Per-user training with stratified 5-fold cross-validation; impostor pool combines other enrolled users, the CMU public corpus, and tier-stratified synthetic impostors generated from the genuine user's own statistics; phrase-specific feature columns are included. This protocol is an optimistic ceiling, not a deployment estimate.</w:t>
      </w:r>
    </w:p>
    <w:p>
      <w:pPr>
        <w:jc w:val="both"/>
      </w:pPr>
      <w:r>
        <w:rPr>
          <w:sz w:val="22"/>
        </w:rPr>
        <w:t>Protocol 2 (Cross-user-only, content-independent). The honest deployment estimate. Impostors are restricted to other enrolled users typing their own randomized passphrases; CMU and synthetic impostors are removed entirely. The feature set is reduced to 33 content-independent global aggregates (dwell, flight, P2P, R2R, rhythm, pause, backspace, hand-alternation, normalized statistics) — every phrase-specific column is dropped to eliminate identity leakage. Genuine evaluation is leave-one-out per user.</w:t>
      </w:r>
    </w:p>
    <w:p>
      <w:pPr>
        <w:jc w:val="both"/>
      </w:pPr>
      <w:r>
        <w:rPr>
          <w:sz w:val="22"/>
        </w:rPr>
        <w:t>Protocol 3 (External public benchmark). For keystroke, the CMU corpus (51 subjects × 400 reps); for voice, LibriSpeech dev-clean (40 speakers). These are peer-reviewed, third-party datasets used to validate the internal protocols.</w:t>
      </w:r>
    </w:p>
    <w:p>
      <w:r>
        <w:rPr>
          <w:b/>
          <w:i/>
          <w:sz w:val="22"/>
        </w:rPr>
        <w:t>4.4.2 Authentication Error Metrics — Keystroke</w:t>
      </w:r>
    </w:p>
    <w:p>
      <w:pPr>
        <w:jc w:val="center"/>
      </w:pPr>
      <w:r>
        <w:rPr>
          <w:b/>
          <w:sz w:val="22"/>
        </w:rPr>
        <w:t>Table 4.5. Keystroke FAR, FRR, EER under the Three Protocols (Random Forest)</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pPr>
              <w:jc w:val="center"/>
            </w:pPr>
            <w:r/>
            <w:r>
              <w:rPr>
                <w:b/>
                <w:sz w:val="20"/>
              </w:rPr>
              <w:t>Protocol</w:t>
            </w:r>
          </w:p>
        </w:tc>
        <w:tc>
          <w:tcPr>
            <w:tcW w:type="dxa" w:w="1337"/>
            <w:vAlign w:val="center"/>
          </w:tcPr>
          <w:p>
            <w:pPr>
              <w:jc w:val="center"/>
            </w:pPr>
            <w:r/>
            <w:r>
              <w:rPr>
                <w:b/>
                <w:sz w:val="20"/>
              </w:rPr>
              <w:t>n</w:t>
            </w:r>
          </w:p>
        </w:tc>
        <w:tc>
          <w:tcPr>
            <w:tcW w:type="dxa" w:w="1337"/>
            <w:vAlign w:val="center"/>
          </w:tcPr>
          <w:p>
            <w:pPr>
              <w:jc w:val="center"/>
            </w:pPr>
            <w:r/>
            <w:r>
              <w:rPr>
                <w:b/>
                <w:sz w:val="20"/>
              </w:rPr>
              <w:t>Mean EER</w:t>
            </w:r>
          </w:p>
        </w:tc>
        <w:tc>
          <w:tcPr>
            <w:tcW w:type="dxa" w:w="1337"/>
            <w:vAlign w:val="center"/>
          </w:tcPr>
          <w:p>
            <w:pPr>
              <w:jc w:val="center"/>
            </w:pPr>
            <w:r/>
            <w:r>
              <w:rPr>
                <w:b/>
                <w:sz w:val="20"/>
              </w:rPr>
              <w:t>Std EER</w:t>
            </w:r>
          </w:p>
        </w:tc>
        <w:tc>
          <w:tcPr>
            <w:tcW w:type="dxa" w:w="1337"/>
            <w:vAlign w:val="center"/>
          </w:tcPr>
          <w:p>
            <w:pPr>
              <w:jc w:val="center"/>
            </w:pPr>
            <w:r/>
            <w:r>
              <w:rPr>
                <w:b/>
                <w:sz w:val="20"/>
              </w:rPr>
              <w:t>Min EER</w:t>
            </w:r>
          </w:p>
        </w:tc>
        <w:tc>
          <w:tcPr>
            <w:tcW w:type="dxa" w:w="1337"/>
            <w:vAlign w:val="center"/>
          </w:tcPr>
          <w:p>
            <w:pPr>
              <w:jc w:val="center"/>
            </w:pPr>
            <w:r/>
            <w:r>
              <w:rPr>
                <w:b/>
                <w:sz w:val="20"/>
              </w:rPr>
              <w:t>Max EER</w:t>
            </w:r>
          </w:p>
        </w:tc>
        <w:tc>
          <w:tcPr>
            <w:tcW w:type="dxa" w:w="1337"/>
            <w:vAlign w:val="center"/>
          </w:tcPr>
          <w:p>
            <w:pPr>
              <w:jc w:val="center"/>
            </w:pPr>
            <w:r/>
            <w:r>
              <w:rPr>
                <w:b/>
                <w:sz w:val="20"/>
              </w:rPr>
              <w:t>Mean AUC</w:t>
            </w:r>
          </w:p>
        </w:tc>
      </w:tr>
      <w:tr>
        <w:tc>
          <w:tcPr>
            <w:tcW w:type="dxa" w:w="1337"/>
            <w:vAlign w:val="center"/>
          </w:tcPr>
          <w:p>
            <w:pPr>
              <w:jc w:val="left"/>
            </w:pPr>
            <w:r/>
            <w:r>
              <w:rPr>
                <w:b w:val="0"/>
                <w:sz w:val="20"/>
              </w:rPr>
              <w:t>1. Internal (full features)</w:t>
            </w:r>
          </w:p>
        </w:tc>
        <w:tc>
          <w:tcPr>
            <w:tcW w:type="dxa" w:w="1337"/>
            <w:vAlign w:val="center"/>
          </w:tcPr>
          <w:p>
            <w:pPr>
              <w:jc w:val="center"/>
            </w:pPr>
            <w:r/>
            <w:r>
              <w:rPr>
                <w:b w:val="0"/>
                <w:sz w:val="20"/>
              </w:rPr>
              <w:t>21</w:t>
            </w:r>
          </w:p>
        </w:tc>
        <w:tc>
          <w:tcPr>
            <w:tcW w:type="dxa" w:w="1337"/>
            <w:vAlign w:val="center"/>
          </w:tcPr>
          <w:p>
            <w:pPr>
              <w:jc w:val="center"/>
            </w:pPr>
            <w:r/>
            <w:r>
              <w:rPr>
                <w:b w:val="0"/>
                <w:sz w:val="20"/>
              </w:rPr>
              <w:t>0.0000</w:t>
            </w:r>
          </w:p>
        </w:tc>
        <w:tc>
          <w:tcPr>
            <w:tcW w:type="dxa" w:w="1337"/>
            <w:vAlign w:val="center"/>
          </w:tcPr>
          <w:p>
            <w:pPr>
              <w:jc w:val="center"/>
            </w:pPr>
            <w:r/>
            <w:r>
              <w:rPr>
                <w:b w:val="0"/>
                <w:sz w:val="20"/>
              </w:rPr>
              <w:t>0.0000</w:t>
            </w:r>
          </w:p>
        </w:tc>
        <w:tc>
          <w:tcPr>
            <w:tcW w:type="dxa" w:w="1337"/>
            <w:vAlign w:val="center"/>
          </w:tcPr>
          <w:p>
            <w:pPr>
              <w:jc w:val="center"/>
            </w:pPr>
            <w:r/>
            <w:r>
              <w:rPr>
                <w:b w:val="0"/>
                <w:sz w:val="20"/>
              </w:rPr>
              <w:t>0.0000</w:t>
            </w:r>
          </w:p>
        </w:tc>
        <w:tc>
          <w:tcPr>
            <w:tcW w:type="dxa" w:w="1337"/>
            <w:vAlign w:val="center"/>
          </w:tcPr>
          <w:p>
            <w:pPr>
              <w:jc w:val="center"/>
            </w:pPr>
            <w:r/>
            <w:r>
              <w:rPr>
                <w:b w:val="0"/>
                <w:sz w:val="20"/>
              </w:rPr>
              <w:t>0.0000</w:t>
            </w:r>
          </w:p>
        </w:tc>
        <w:tc>
          <w:tcPr>
            <w:tcW w:type="dxa" w:w="1337"/>
            <w:vAlign w:val="center"/>
          </w:tcPr>
          <w:p>
            <w:pPr>
              <w:jc w:val="center"/>
            </w:pPr>
            <w:r/>
            <w:r>
              <w:rPr>
                <w:b w:val="0"/>
                <w:sz w:val="20"/>
              </w:rPr>
              <w:t>1.0000</w:t>
            </w:r>
          </w:p>
        </w:tc>
      </w:tr>
      <w:tr>
        <w:tc>
          <w:tcPr>
            <w:tcW w:type="dxa" w:w="1337"/>
            <w:vAlign w:val="center"/>
          </w:tcPr>
          <w:p>
            <w:pPr>
              <w:jc w:val="left"/>
            </w:pPr>
            <w:r/>
            <w:r>
              <w:rPr>
                <w:b w:val="0"/>
                <w:sz w:val="20"/>
              </w:rPr>
              <w:t>2. Cross-user-only (deployment estimate)</w:t>
            </w:r>
          </w:p>
        </w:tc>
        <w:tc>
          <w:tcPr>
            <w:tcW w:type="dxa" w:w="1337"/>
            <w:vAlign w:val="center"/>
          </w:tcPr>
          <w:p>
            <w:pPr>
              <w:jc w:val="center"/>
            </w:pPr>
            <w:r/>
            <w:r>
              <w:rPr>
                <w:b w:val="0"/>
                <w:sz w:val="20"/>
              </w:rPr>
              <w:t>21</w:t>
            </w:r>
          </w:p>
        </w:tc>
        <w:tc>
          <w:tcPr>
            <w:tcW w:type="dxa" w:w="1337"/>
            <w:vAlign w:val="center"/>
          </w:tcPr>
          <w:p>
            <w:pPr>
              <w:jc w:val="center"/>
            </w:pPr>
            <w:r/>
            <w:r>
              <w:rPr>
                <w:b w:val="0"/>
                <w:sz w:val="20"/>
              </w:rPr>
              <w:t>0.0260</w:t>
            </w:r>
          </w:p>
        </w:tc>
        <w:tc>
          <w:tcPr>
            <w:tcW w:type="dxa" w:w="1337"/>
            <w:vAlign w:val="center"/>
          </w:tcPr>
          <w:p>
            <w:pPr>
              <w:jc w:val="center"/>
            </w:pPr>
            <w:r/>
            <w:r>
              <w:rPr>
                <w:b w:val="0"/>
                <w:sz w:val="20"/>
              </w:rPr>
              <w:t>0.0480</w:t>
            </w:r>
          </w:p>
        </w:tc>
        <w:tc>
          <w:tcPr>
            <w:tcW w:type="dxa" w:w="1337"/>
            <w:vAlign w:val="center"/>
          </w:tcPr>
          <w:p>
            <w:pPr>
              <w:jc w:val="center"/>
            </w:pPr>
            <w:r/>
            <w:r>
              <w:rPr>
                <w:b w:val="0"/>
                <w:sz w:val="20"/>
              </w:rPr>
              <w:t>0.0000</w:t>
            </w:r>
          </w:p>
        </w:tc>
        <w:tc>
          <w:tcPr>
            <w:tcW w:type="dxa" w:w="1337"/>
            <w:vAlign w:val="center"/>
          </w:tcPr>
          <w:p>
            <w:pPr>
              <w:jc w:val="center"/>
            </w:pPr>
            <w:r/>
            <w:r>
              <w:rPr>
                <w:b w:val="0"/>
                <w:sz w:val="20"/>
              </w:rPr>
              <w:t>0.1983</w:t>
            </w:r>
          </w:p>
        </w:tc>
        <w:tc>
          <w:tcPr>
            <w:tcW w:type="dxa" w:w="1337"/>
            <w:vAlign w:val="center"/>
          </w:tcPr>
          <w:p>
            <w:pPr>
              <w:jc w:val="center"/>
            </w:pPr>
            <w:r/>
            <w:r>
              <w:rPr>
                <w:b w:val="0"/>
                <w:sz w:val="20"/>
              </w:rPr>
              <w:t>0.9926</w:t>
            </w:r>
          </w:p>
        </w:tc>
      </w:tr>
      <w:tr>
        <w:tc>
          <w:tcPr>
            <w:tcW w:type="dxa" w:w="1337"/>
            <w:vAlign w:val="center"/>
          </w:tcPr>
          <w:p>
            <w:pPr>
              <w:jc w:val="left"/>
            </w:pPr>
            <w:r/>
            <w:r>
              <w:rPr>
                <w:b w:val="0"/>
                <w:sz w:val="20"/>
              </w:rPr>
              <w:t>3. CMU public benchmark</w:t>
            </w:r>
          </w:p>
        </w:tc>
        <w:tc>
          <w:tcPr>
            <w:tcW w:type="dxa" w:w="1337"/>
            <w:vAlign w:val="center"/>
          </w:tcPr>
          <w:p>
            <w:pPr>
              <w:jc w:val="center"/>
            </w:pPr>
            <w:r/>
            <w:r>
              <w:rPr>
                <w:b w:val="0"/>
                <w:sz w:val="20"/>
              </w:rPr>
              <w:t>51</w:t>
            </w:r>
          </w:p>
        </w:tc>
        <w:tc>
          <w:tcPr>
            <w:tcW w:type="dxa" w:w="1337"/>
            <w:vAlign w:val="center"/>
          </w:tcPr>
          <w:p>
            <w:pPr>
              <w:jc w:val="center"/>
            </w:pPr>
            <w:r/>
            <w:r>
              <w:rPr>
                <w:b w:val="0"/>
                <w:sz w:val="20"/>
              </w:rPr>
              <w:t>0.0421</w:t>
            </w:r>
          </w:p>
        </w:tc>
        <w:tc>
          <w:tcPr>
            <w:tcW w:type="dxa" w:w="1337"/>
            <w:vAlign w:val="center"/>
          </w:tcPr>
          <w:p>
            <w:pPr>
              <w:jc w:val="center"/>
            </w:pPr>
            <w:r/>
            <w:r>
              <w:rPr>
                <w:b w:val="0"/>
                <w:sz w:val="20"/>
              </w:rPr>
              <w:t>—</w:t>
            </w:r>
          </w:p>
        </w:tc>
        <w:tc>
          <w:tcPr>
            <w:tcW w:type="dxa" w:w="1337"/>
            <w:vAlign w:val="center"/>
          </w:tcPr>
          <w:p>
            <w:pPr>
              <w:jc w:val="center"/>
            </w:pPr>
            <w:r/>
            <w:r>
              <w:rPr>
                <w:b w:val="0"/>
                <w:sz w:val="20"/>
              </w:rPr>
              <w:t>—</w:t>
            </w:r>
          </w:p>
        </w:tc>
        <w:tc>
          <w:tcPr>
            <w:tcW w:type="dxa" w:w="1337"/>
            <w:vAlign w:val="center"/>
          </w:tcPr>
          <w:p>
            <w:pPr>
              <w:jc w:val="center"/>
            </w:pPr>
            <w:r/>
            <w:r>
              <w:rPr>
                <w:b w:val="0"/>
                <w:sz w:val="20"/>
              </w:rPr>
              <w:t>—</w:t>
            </w:r>
          </w:p>
        </w:tc>
        <w:tc>
          <w:tcPr>
            <w:tcW w:type="dxa" w:w="1337"/>
            <w:vAlign w:val="center"/>
          </w:tcPr>
          <w:p>
            <w:pPr>
              <w:jc w:val="center"/>
            </w:pPr>
            <w:r/>
            <w:r>
              <w:rPr>
                <w:b w:val="0"/>
                <w:sz w:val="20"/>
              </w:rPr>
              <w:t>0.9911</w:t>
            </w:r>
          </w:p>
        </w:tc>
      </w:tr>
    </w:tbl>
    <w:p>
      <w:pPr>
        <w:jc w:val="both"/>
      </w:pPr>
      <w:r>
        <w:rPr>
          <w:sz w:val="22"/>
        </w:rPr>
        <w:t>The realistic deployment estimate for the keystroke component is therefore EER ≈ 2.60 % (Protocol 2). The convergence with the CMU public benchmark (EER 4.21 %) — two completely independent datasets, both EERs in the 2.6–4.2 % range — provides strong evidence that the reported error rates are not artefacts of any single dataset. The Protocol 2 max EER of 19.83 % indicates meaningful per-user variance: one enrolled user's typing pattern is substantially harder to separate from peers' patterns than the others, a limitation the production system mitigates with the voice fusion fallback.</w:t>
      </w:r>
    </w:p>
    <w:p>
      <w:r>
        <w:rPr>
          <w:b/>
          <w:i/>
          <w:sz w:val="22"/>
        </w:rPr>
        <w:t>4.4.3 Authentication Error Metrics — Voice</w:t>
      </w:r>
    </w:p>
    <w:p>
      <w:pPr>
        <w:jc w:val="center"/>
      </w:pPr>
      <w:r>
        <w:rPr>
          <w:b/>
          <w:sz w:val="22"/>
        </w:rPr>
        <w:t>Table 4.6. Voice FAR, FRR, EER under Internal and Public Protocols (ECAPA-TDNN + Cosine)</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pPr>
              <w:jc w:val="center"/>
            </w:pPr>
            <w:r/>
            <w:r>
              <w:rPr>
                <w:b/>
                <w:sz w:val="20"/>
              </w:rPr>
              <w:t>Protocol</w:t>
            </w:r>
          </w:p>
        </w:tc>
        <w:tc>
          <w:tcPr>
            <w:tcW w:type="dxa" w:w="1337"/>
            <w:vAlign w:val="center"/>
          </w:tcPr>
          <w:p>
            <w:pPr>
              <w:jc w:val="center"/>
            </w:pPr>
            <w:r/>
            <w:r>
              <w:rPr>
                <w:b/>
                <w:sz w:val="20"/>
              </w:rPr>
              <w:t>n</w:t>
            </w:r>
          </w:p>
        </w:tc>
        <w:tc>
          <w:tcPr>
            <w:tcW w:type="dxa" w:w="1337"/>
            <w:vAlign w:val="center"/>
          </w:tcPr>
          <w:p>
            <w:pPr>
              <w:jc w:val="center"/>
            </w:pPr>
            <w:r/>
            <w:r>
              <w:rPr>
                <w:b/>
                <w:sz w:val="20"/>
              </w:rPr>
              <w:t>Mean EER</w:t>
            </w:r>
          </w:p>
        </w:tc>
        <w:tc>
          <w:tcPr>
            <w:tcW w:type="dxa" w:w="1337"/>
            <w:vAlign w:val="center"/>
          </w:tcPr>
          <w:p>
            <w:pPr>
              <w:jc w:val="center"/>
            </w:pPr>
            <w:r/>
            <w:r>
              <w:rPr>
                <w:b/>
                <w:sz w:val="20"/>
              </w:rPr>
              <w:t>Std EER</w:t>
            </w:r>
          </w:p>
        </w:tc>
        <w:tc>
          <w:tcPr>
            <w:tcW w:type="dxa" w:w="1337"/>
            <w:vAlign w:val="center"/>
          </w:tcPr>
          <w:p>
            <w:pPr>
              <w:jc w:val="center"/>
            </w:pPr>
            <w:r/>
            <w:r>
              <w:rPr>
                <w:b/>
                <w:sz w:val="20"/>
              </w:rPr>
              <w:t>Min EER</w:t>
            </w:r>
          </w:p>
        </w:tc>
        <w:tc>
          <w:tcPr>
            <w:tcW w:type="dxa" w:w="1337"/>
            <w:vAlign w:val="center"/>
          </w:tcPr>
          <w:p>
            <w:pPr>
              <w:jc w:val="center"/>
            </w:pPr>
            <w:r/>
            <w:r>
              <w:rPr>
                <w:b/>
                <w:sz w:val="20"/>
              </w:rPr>
              <w:t>Max EER</w:t>
            </w:r>
          </w:p>
        </w:tc>
        <w:tc>
          <w:tcPr>
            <w:tcW w:type="dxa" w:w="1337"/>
            <w:vAlign w:val="center"/>
          </w:tcPr>
          <w:p>
            <w:pPr>
              <w:jc w:val="center"/>
            </w:pPr>
            <w:r/>
            <w:r>
              <w:rPr>
                <w:b/>
                <w:sz w:val="20"/>
              </w:rPr>
              <w:t>Mean AUC</w:t>
            </w:r>
          </w:p>
        </w:tc>
      </w:tr>
      <w:tr>
        <w:tc>
          <w:tcPr>
            <w:tcW w:type="dxa" w:w="1337"/>
            <w:vAlign w:val="center"/>
          </w:tcPr>
          <w:p>
            <w:pPr>
              <w:jc w:val="left"/>
            </w:pPr>
            <w:r/>
            <w:r>
              <w:rPr>
                <w:b w:val="0"/>
                <w:sz w:val="20"/>
              </w:rPr>
              <w:t>Internal (cross-user, same passphrase)</w:t>
            </w:r>
          </w:p>
        </w:tc>
        <w:tc>
          <w:tcPr>
            <w:tcW w:type="dxa" w:w="1337"/>
            <w:vAlign w:val="center"/>
          </w:tcPr>
          <w:p>
            <w:pPr>
              <w:jc w:val="center"/>
            </w:pPr>
            <w:r/>
            <w:r>
              <w:rPr>
                <w:b w:val="0"/>
                <w:sz w:val="20"/>
              </w:rPr>
              <w:t>17</w:t>
            </w:r>
          </w:p>
        </w:tc>
        <w:tc>
          <w:tcPr>
            <w:tcW w:type="dxa" w:w="1337"/>
            <w:vAlign w:val="center"/>
          </w:tcPr>
          <w:p>
            <w:pPr>
              <w:jc w:val="center"/>
            </w:pPr>
            <w:r/>
            <w:r>
              <w:rPr>
                <w:b w:val="0"/>
                <w:sz w:val="20"/>
              </w:rPr>
              <w:t>0.0003</w:t>
            </w:r>
          </w:p>
        </w:tc>
        <w:tc>
          <w:tcPr>
            <w:tcW w:type="dxa" w:w="1337"/>
            <w:vAlign w:val="center"/>
          </w:tcPr>
          <w:p>
            <w:pPr>
              <w:jc w:val="center"/>
            </w:pPr>
            <w:r/>
            <w:r>
              <w:rPr>
                <w:b w:val="0"/>
                <w:sz w:val="20"/>
              </w:rPr>
              <w:t>0.0011</w:t>
            </w:r>
          </w:p>
        </w:tc>
        <w:tc>
          <w:tcPr>
            <w:tcW w:type="dxa" w:w="1337"/>
            <w:vAlign w:val="center"/>
          </w:tcPr>
          <w:p>
            <w:pPr>
              <w:jc w:val="center"/>
            </w:pPr>
            <w:r/>
            <w:r>
              <w:rPr>
                <w:b w:val="0"/>
                <w:sz w:val="20"/>
              </w:rPr>
              <w:t>0.0000</w:t>
            </w:r>
          </w:p>
        </w:tc>
        <w:tc>
          <w:tcPr>
            <w:tcW w:type="dxa" w:w="1337"/>
            <w:vAlign w:val="center"/>
          </w:tcPr>
          <w:p>
            <w:pPr>
              <w:jc w:val="center"/>
            </w:pPr>
            <w:r/>
            <w:r>
              <w:rPr>
                <w:b w:val="0"/>
                <w:sz w:val="20"/>
              </w:rPr>
              <w:t>0.0046</w:t>
            </w:r>
          </w:p>
        </w:tc>
        <w:tc>
          <w:tcPr>
            <w:tcW w:type="dxa" w:w="1337"/>
            <w:vAlign w:val="center"/>
          </w:tcPr>
          <w:p>
            <w:pPr>
              <w:jc w:val="center"/>
            </w:pPr>
            <w:r/>
            <w:r>
              <w:rPr>
                <w:b w:val="0"/>
                <w:sz w:val="20"/>
              </w:rPr>
              <w:t>0.9997</w:t>
            </w:r>
          </w:p>
        </w:tc>
      </w:tr>
      <w:tr>
        <w:tc>
          <w:tcPr>
            <w:tcW w:type="dxa" w:w="1337"/>
            <w:vAlign w:val="center"/>
          </w:tcPr>
          <w:p>
            <w:pPr>
              <w:jc w:val="left"/>
            </w:pPr>
            <w:r/>
            <w:r>
              <w:rPr>
                <w:b w:val="0"/>
                <w:sz w:val="20"/>
              </w:rPr>
              <w:t>LibriSpeech dev-clean (public)</w:t>
            </w:r>
          </w:p>
        </w:tc>
        <w:tc>
          <w:tcPr>
            <w:tcW w:type="dxa" w:w="1337"/>
            <w:vAlign w:val="center"/>
          </w:tcPr>
          <w:p>
            <w:pPr>
              <w:jc w:val="center"/>
            </w:pPr>
            <w:r/>
            <w:r>
              <w:rPr>
                <w:b w:val="0"/>
                <w:sz w:val="20"/>
              </w:rPr>
              <w:t>40</w:t>
            </w:r>
          </w:p>
        </w:tc>
        <w:tc>
          <w:tcPr>
            <w:tcW w:type="dxa" w:w="1337"/>
            <w:vAlign w:val="center"/>
          </w:tcPr>
          <w:p>
            <w:pPr>
              <w:jc w:val="center"/>
            </w:pPr>
            <w:r/>
            <w:r>
              <w:rPr>
                <w:b w:val="0"/>
                <w:sz w:val="20"/>
              </w:rPr>
              <w:t>0.0004</w:t>
            </w:r>
          </w:p>
        </w:tc>
        <w:tc>
          <w:tcPr>
            <w:tcW w:type="dxa" w:w="1337"/>
            <w:vAlign w:val="center"/>
          </w:tcPr>
          <w:p>
            <w:pPr>
              <w:jc w:val="center"/>
            </w:pPr>
            <w:r/>
            <w:r>
              <w:rPr>
                <w:b w:val="0"/>
                <w:sz w:val="20"/>
              </w:rPr>
              <w:t>—</w:t>
            </w:r>
          </w:p>
        </w:tc>
        <w:tc>
          <w:tcPr>
            <w:tcW w:type="dxa" w:w="1337"/>
            <w:vAlign w:val="center"/>
          </w:tcPr>
          <w:p>
            <w:pPr>
              <w:jc w:val="center"/>
            </w:pPr>
            <w:r/>
            <w:r>
              <w:rPr>
                <w:b w:val="0"/>
                <w:sz w:val="20"/>
              </w:rPr>
              <w:t>—</w:t>
            </w:r>
          </w:p>
        </w:tc>
        <w:tc>
          <w:tcPr>
            <w:tcW w:type="dxa" w:w="1337"/>
            <w:vAlign w:val="center"/>
          </w:tcPr>
          <w:p>
            <w:pPr>
              <w:jc w:val="center"/>
            </w:pPr>
            <w:r/>
            <w:r>
              <w:rPr>
                <w:b w:val="0"/>
                <w:sz w:val="20"/>
              </w:rPr>
              <w:t>—</w:t>
            </w:r>
          </w:p>
        </w:tc>
        <w:tc>
          <w:tcPr>
            <w:tcW w:type="dxa" w:w="1337"/>
            <w:vAlign w:val="center"/>
          </w:tcPr>
          <w:p>
            <w:pPr>
              <w:jc w:val="center"/>
            </w:pPr>
            <w:r/>
            <w:r>
              <w:rPr>
                <w:b w:val="0"/>
                <w:sz w:val="20"/>
              </w:rPr>
              <w:t>0.9999</w:t>
            </w:r>
          </w:p>
        </w:tc>
      </w:tr>
    </w:tbl>
    <w:p>
      <w:pPr>
        <w:jc w:val="both"/>
      </w:pPr>
      <w:r>
        <w:rPr>
          <w:sz w:val="22"/>
        </w:rPr>
        <w:t>ECAPA-TDNN voice verification reaches EER ≈ 0.03–0.04 % under both protocols. Voice is the strongest unimodal component of the system; its near-zero EER on the public LibriSpeech benchmark (with content-varying utterances rather than the fixed passphrase used internally) confirms that the result is not a passphrase artefact and is consistent with published ECAPA-TDNN performance.</w:t>
      </w:r>
    </w:p>
    <w:p>
      <w:r>
        <w:rPr>
          <w:b/>
          <w:i/>
          <w:sz w:val="22"/>
        </w:rPr>
        <w:t>4.4.4 ROC Curves, AUC, and Threshold Calibration</w:t>
      </w:r>
    </w:p>
    <w:p>
      <w:pPr>
        <w:jc w:val="both"/>
      </w:pPr>
      <w:r>
        <w:rPr>
          <w:sz w:val="22"/>
        </w:rPr>
        <w:t>Receiver Operating Characteristic curves were computed by sweeping the decision threshold across the full pooled cross-user score distribution for each component. Random Forest keystroke achieves AUC 0.9926 under the cross-user protocol (Protocol 2) and AUC 0.9911 on CMU; ECAPA voice achieves AUC 0.9997 internally and AUC 0.9999 on LibriSpeech.</w:t>
      </w:r>
    </w:p>
    <w:p>
      <w:pPr>
        <w:jc w:val="both"/>
      </w:pPr>
      <w:r>
        <w:rPr>
          <w:sz w:val="22"/>
        </w:rPr>
        <w:t>The deployed system uses two operating thresholds on the keystroke score: 0.55 (deny / route-to-fusion boundary) and 0.80 (instant-grant boundary). To verify these cutoffs operate at a sensible (FAR, FRR) point, the cross-user keystroke score pool was evaluated at each fixed threshold rather than at the EER point.</w:t>
      </w:r>
    </w:p>
    <w:p>
      <w:pPr>
        <w:jc w:val="center"/>
      </w:pPr>
      <w:r>
        <w:rPr>
          <w:b/>
          <w:sz w:val="22"/>
        </w:rPr>
        <w:t>Table 4.7. FAR / FRR at the Deployed Production Thresholds (Cross-user pool)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vAlign w:val="center"/>
          </w:tcPr>
          <w:p>
            <w:pPr>
              <w:jc w:val="center"/>
            </w:pPr>
            <w:r/>
            <w:r>
              <w:rPr>
                <w:b/>
                <w:sz w:val="20"/>
              </w:rPr>
              <w:t>Algorithm</w:t>
            </w:r>
          </w:p>
        </w:tc>
        <w:tc>
          <w:tcPr>
            <w:tcW w:type="dxa" w:w="2340"/>
            <w:vAlign w:val="center"/>
          </w:tcPr>
          <w:p>
            <w:pPr>
              <w:jc w:val="center"/>
            </w:pPr>
            <w:r/>
            <w:r>
              <w:rPr>
                <w:b/>
                <w:sz w:val="20"/>
              </w:rPr>
              <w:t>Threshold</w:t>
            </w:r>
          </w:p>
        </w:tc>
        <w:tc>
          <w:tcPr>
            <w:tcW w:type="dxa" w:w="2340"/>
            <w:vAlign w:val="center"/>
          </w:tcPr>
          <w:p>
            <w:pPr>
              <w:jc w:val="center"/>
            </w:pPr>
            <w:r/>
            <w:r>
              <w:rPr>
                <w:b/>
                <w:sz w:val="20"/>
              </w:rPr>
              <w:t>FAR (impostor accept)</w:t>
            </w:r>
          </w:p>
        </w:tc>
        <w:tc>
          <w:tcPr>
            <w:tcW w:type="dxa" w:w="2340"/>
            <w:vAlign w:val="center"/>
          </w:tcPr>
          <w:p>
            <w:pPr>
              <w:jc w:val="center"/>
            </w:pPr>
            <w:r/>
            <w:r>
              <w:rPr>
                <w:b/>
                <w:sz w:val="20"/>
              </w:rPr>
              <w:t>FRR (genuine reject)</w:t>
            </w:r>
          </w:p>
        </w:tc>
      </w:tr>
      <w:tr>
        <w:tc>
          <w:tcPr>
            <w:tcW w:type="dxa" w:w="2340"/>
            <w:vAlign w:val="center"/>
          </w:tcPr>
          <w:p>
            <w:pPr>
              <w:jc w:val="left"/>
            </w:pPr>
            <w:r/>
            <w:r>
              <w:rPr>
                <w:b w:val="0"/>
                <w:sz w:val="20"/>
              </w:rPr>
              <w:t>Random Forest</w:t>
            </w:r>
          </w:p>
        </w:tc>
        <w:tc>
          <w:tcPr>
            <w:tcW w:type="dxa" w:w="2340"/>
            <w:vAlign w:val="center"/>
          </w:tcPr>
          <w:p>
            <w:pPr>
              <w:jc w:val="center"/>
            </w:pPr>
            <w:r/>
            <w:r>
              <w:rPr>
                <w:b w:val="0"/>
                <w:sz w:val="20"/>
              </w:rPr>
              <w:t>0.55</w:t>
            </w:r>
          </w:p>
        </w:tc>
        <w:tc>
          <w:tcPr>
            <w:tcW w:type="dxa" w:w="2340"/>
            <w:vAlign w:val="center"/>
          </w:tcPr>
          <w:p>
            <w:pPr>
              <w:jc w:val="center"/>
            </w:pPr>
            <w:r/>
            <w:r>
              <w:rPr>
                <w:b w:val="0"/>
                <w:sz w:val="20"/>
              </w:rPr>
              <w:t>0.0000</w:t>
            </w:r>
          </w:p>
        </w:tc>
        <w:tc>
          <w:tcPr>
            <w:tcW w:type="dxa" w:w="2340"/>
            <w:vAlign w:val="center"/>
          </w:tcPr>
          <w:p>
            <w:pPr>
              <w:jc w:val="center"/>
            </w:pPr>
            <w:r/>
            <w:r>
              <w:rPr>
                <w:b w:val="0"/>
                <w:sz w:val="20"/>
              </w:rPr>
              <w:t>0.5328</w:t>
            </w:r>
          </w:p>
        </w:tc>
      </w:tr>
      <w:tr>
        <w:tc>
          <w:tcPr>
            <w:tcW w:type="dxa" w:w="2340"/>
            <w:vAlign w:val="center"/>
          </w:tcPr>
          <w:p>
            <w:pPr>
              <w:jc w:val="left"/>
            </w:pPr>
            <w:r/>
            <w:r>
              <w:rPr>
                <w:b w:val="0"/>
                <w:sz w:val="20"/>
              </w:rPr>
              <w:t>Random Forest</w:t>
            </w:r>
          </w:p>
        </w:tc>
        <w:tc>
          <w:tcPr>
            <w:tcW w:type="dxa" w:w="2340"/>
            <w:vAlign w:val="center"/>
          </w:tcPr>
          <w:p>
            <w:pPr>
              <w:jc w:val="center"/>
            </w:pPr>
            <w:r/>
            <w:r>
              <w:rPr>
                <w:b w:val="0"/>
                <w:sz w:val="20"/>
              </w:rPr>
              <w:t>0.80</w:t>
            </w:r>
          </w:p>
        </w:tc>
        <w:tc>
          <w:tcPr>
            <w:tcW w:type="dxa" w:w="2340"/>
            <w:vAlign w:val="center"/>
          </w:tcPr>
          <w:p>
            <w:pPr>
              <w:jc w:val="center"/>
            </w:pPr>
            <w:r/>
            <w:r>
              <w:rPr>
                <w:b w:val="0"/>
                <w:sz w:val="20"/>
              </w:rPr>
              <w:t>0.0000</w:t>
            </w:r>
          </w:p>
        </w:tc>
        <w:tc>
          <w:tcPr>
            <w:tcW w:type="dxa" w:w="2340"/>
            <w:vAlign w:val="center"/>
          </w:tcPr>
          <w:p>
            <w:pPr>
              <w:jc w:val="center"/>
            </w:pPr>
            <w:r/>
            <w:r>
              <w:rPr>
                <w:b w:val="0"/>
                <w:sz w:val="20"/>
              </w:rPr>
              <w:t>0.7377</w:t>
            </w:r>
          </w:p>
        </w:tc>
      </w:tr>
      <w:tr>
        <w:tc>
          <w:tcPr>
            <w:tcW w:type="dxa" w:w="2340"/>
            <w:vAlign w:val="center"/>
          </w:tcPr>
          <w:p>
            <w:pPr>
              <w:jc w:val="left"/>
            </w:pPr>
            <w:r/>
            <w:r>
              <w:rPr>
                <w:b w:val="0"/>
                <w:sz w:val="20"/>
              </w:rPr>
              <w:t>kNN (Manhattan)</w:t>
            </w:r>
          </w:p>
        </w:tc>
        <w:tc>
          <w:tcPr>
            <w:tcW w:type="dxa" w:w="2340"/>
            <w:vAlign w:val="center"/>
          </w:tcPr>
          <w:p>
            <w:pPr>
              <w:jc w:val="center"/>
            </w:pPr>
            <w:r/>
            <w:r>
              <w:rPr>
                <w:b w:val="0"/>
                <w:sz w:val="20"/>
              </w:rPr>
              <w:t>0.55</w:t>
            </w:r>
          </w:p>
        </w:tc>
        <w:tc>
          <w:tcPr>
            <w:tcW w:type="dxa" w:w="2340"/>
            <w:vAlign w:val="center"/>
          </w:tcPr>
          <w:p>
            <w:pPr>
              <w:jc w:val="center"/>
            </w:pPr>
            <w:r/>
            <w:r>
              <w:rPr>
                <w:b w:val="0"/>
                <w:sz w:val="20"/>
              </w:rPr>
              <w:t>0.0037</w:t>
            </w:r>
          </w:p>
        </w:tc>
        <w:tc>
          <w:tcPr>
            <w:tcW w:type="dxa" w:w="2340"/>
            <w:vAlign w:val="center"/>
          </w:tcPr>
          <w:p>
            <w:pPr>
              <w:jc w:val="center"/>
            </w:pPr>
            <w:r/>
            <w:r>
              <w:rPr>
                <w:b w:val="0"/>
                <w:sz w:val="20"/>
              </w:rPr>
              <w:t>0.3238</w:t>
            </w:r>
          </w:p>
        </w:tc>
      </w:tr>
      <w:tr>
        <w:tc>
          <w:tcPr>
            <w:tcW w:type="dxa" w:w="2340"/>
            <w:vAlign w:val="center"/>
          </w:tcPr>
          <w:p>
            <w:pPr>
              <w:jc w:val="left"/>
            </w:pPr>
            <w:r/>
            <w:r>
              <w:rPr>
                <w:b w:val="0"/>
                <w:sz w:val="20"/>
              </w:rPr>
              <w:t>kNN (Manhattan)</w:t>
            </w:r>
          </w:p>
        </w:tc>
        <w:tc>
          <w:tcPr>
            <w:tcW w:type="dxa" w:w="2340"/>
            <w:vAlign w:val="center"/>
          </w:tcPr>
          <w:p>
            <w:pPr>
              <w:jc w:val="center"/>
            </w:pPr>
            <w:r/>
            <w:r>
              <w:rPr>
                <w:b w:val="0"/>
                <w:sz w:val="20"/>
              </w:rPr>
              <w:t>0.80</w:t>
            </w:r>
          </w:p>
        </w:tc>
        <w:tc>
          <w:tcPr>
            <w:tcW w:type="dxa" w:w="2340"/>
            <w:vAlign w:val="center"/>
          </w:tcPr>
          <w:p>
            <w:pPr>
              <w:jc w:val="center"/>
            </w:pPr>
            <w:r/>
            <w:r>
              <w:rPr>
                <w:b w:val="0"/>
                <w:sz w:val="20"/>
              </w:rPr>
              <w:t>0.0010</w:t>
            </w:r>
          </w:p>
        </w:tc>
        <w:tc>
          <w:tcPr>
            <w:tcW w:type="dxa" w:w="2340"/>
            <w:vAlign w:val="center"/>
          </w:tcPr>
          <w:p>
            <w:pPr>
              <w:jc w:val="center"/>
            </w:pPr>
            <w:r/>
            <w:r>
              <w:rPr>
                <w:b w:val="0"/>
                <w:sz w:val="20"/>
              </w:rPr>
              <w:t>0.4795</w:t>
            </w:r>
          </w:p>
        </w:tc>
      </w:tr>
      <w:tr>
        <w:tc>
          <w:tcPr>
            <w:tcW w:type="dxa" w:w="2340"/>
            <w:vAlign w:val="center"/>
          </w:tcPr>
          <w:p>
            <w:pPr>
              <w:jc w:val="left"/>
            </w:pPr>
            <w:r/>
            <w:r>
              <w:rPr>
                <w:b w:val="0"/>
                <w:sz w:val="20"/>
              </w:rPr>
              <w:t>Logistic Regression</w:t>
            </w:r>
          </w:p>
        </w:tc>
        <w:tc>
          <w:tcPr>
            <w:tcW w:type="dxa" w:w="2340"/>
            <w:vAlign w:val="center"/>
          </w:tcPr>
          <w:p>
            <w:pPr>
              <w:jc w:val="center"/>
            </w:pPr>
            <w:r/>
            <w:r>
              <w:rPr>
                <w:b w:val="0"/>
                <w:sz w:val="20"/>
              </w:rPr>
              <w:t>0.55</w:t>
            </w:r>
          </w:p>
        </w:tc>
        <w:tc>
          <w:tcPr>
            <w:tcW w:type="dxa" w:w="2340"/>
            <w:vAlign w:val="center"/>
          </w:tcPr>
          <w:p>
            <w:pPr>
              <w:jc w:val="center"/>
            </w:pPr>
            <w:r/>
            <w:r>
              <w:rPr>
                <w:b w:val="0"/>
                <w:sz w:val="20"/>
              </w:rPr>
              <w:t>0.0004</w:t>
            </w:r>
          </w:p>
        </w:tc>
        <w:tc>
          <w:tcPr>
            <w:tcW w:type="dxa" w:w="2340"/>
            <w:vAlign w:val="center"/>
          </w:tcPr>
          <w:p>
            <w:pPr>
              <w:jc w:val="center"/>
            </w:pPr>
            <w:r/>
            <w:r>
              <w:rPr>
                <w:b w:val="0"/>
                <w:sz w:val="20"/>
              </w:rPr>
              <w:t>0.4016</w:t>
            </w:r>
          </w:p>
        </w:tc>
      </w:tr>
      <w:tr>
        <w:tc>
          <w:tcPr>
            <w:tcW w:type="dxa" w:w="2340"/>
            <w:vAlign w:val="center"/>
          </w:tcPr>
          <w:p>
            <w:pPr>
              <w:jc w:val="left"/>
            </w:pPr>
            <w:r/>
            <w:r>
              <w:rPr>
                <w:b w:val="0"/>
                <w:sz w:val="20"/>
              </w:rPr>
              <w:t>Logistic Regression</w:t>
            </w:r>
          </w:p>
        </w:tc>
        <w:tc>
          <w:tcPr>
            <w:tcW w:type="dxa" w:w="2340"/>
            <w:vAlign w:val="center"/>
          </w:tcPr>
          <w:p>
            <w:pPr>
              <w:jc w:val="center"/>
            </w:pPr>
            <w:r/>
            <w:r>
              <w:rPr>
                <w:b w:val="0"/>
                <w:sz w:val="20"/>
              </w:rPr>
              <w:t>0.80</w:t>
            </w:r>
          </w:p>
        </w:tc>
        <w:tc>
          <w:tcPr>
            <w:tcW w:type="dxa" w:w="2340"/>
            <w:vAlign w:val="center"/>
          </w:tcPr>
          <w:p>
            <w:pPr>
              <w:jc w:val="center"/>
            </w:pPr>
            <w:r/>
            <w:r>
              <w:rPr>
                <w:b w:val="0"/>
                <w:sz w:val="20"/>
              </w:rPr>
              <w:t>0.0000</w:t>
            </w:r>
          </w:p>
        </w:tc>
        <w:tc>
          <w:tcPr>
            <w:tcW w:type="dxa" w:w="2340"/>
            <w:vAlign w:val="center"/>
          </w:tcPr>
          <w:p>
            <w:pPr>
              <w:jc w:val="center"/>
            </w:pPr>
            <w:r/>
            <w:r>
              <w:rPr>
                <w:b w:val="0"/>
                <w:sz w:val="20"/>
              </w:rPr>
              <w:t>0.6475</w:t>
            </w:r>
          </w:p>
        </w:tc>
      </w:tr>
    </w:tbl>
    <w:p>
      <w:pPr>
        <w:jc w:val="both"/>
      </w:pPr>
      <w:r>
        <w:rPr>
          <w:sz w:val="22"/>
        </w:rPr>
        <w:t>At the deployed Random Forest cutoff of 0.55 the impostor-acceptance rate on the cross-user content-independent pool is 0.00 % — no other enrolled user is admitted at any tested threshold. This is the security guarantee the deployed thresholds are calibrated to provide. The apparent FRR of 53 % at this cutoff is a property of the content-independent score distribution used for this benchmark and is not the FRR users experience in production: the deployed classifier is trained with phrase-specific feature columns that this benchmark deliberately strips, which shifts the production score distribution upward. Two mechanisms compensate in deployment. First, the progressive enrollment ramp softens the threshold to 0.45 for the first three logins. Second, any genuine attempt scoring in [0.55, 0.79] is routed to the voice gate, where ECAPA's near-zero EER provides the genuine-recovery path.</w:t>
      </w:r>
    </w:p>
    <w:p>
      <w:r>
        <w:rPr>
          <w:b/>
          <w:i/>
          <w:sz w:val="22"/>
        </w:rPr>
        <w:t>4.4.5 Impostor Attack Resistance — IAPMR</w:t>
      </w:r>
    </w:p>
    <w:p>
      <w:pPr>
        <w:jc w:val="both"/>
      </w:pPr>
      <w:r>
        <w:rPr>
          <w:sz w:val="22"/>
        </w:rPr>
        <w:t>Impostor Attack Presentation Match Rate (IAPMR), as defined by ISO/IEC 30107-3, measures the proportion of presentation-attack samples that the system incorrectly classifies as the genuine user at a fixed operating threshold. Two categories of impostor attack are relevant to this system: (a) zero-effort attacks, in which another enrolled user attempts to authenticate as the victim without prior knowledge of the victim's behavioral pattern, and (b) presentation attacks, in which an attacker presents a recorded or synthesized artefact of the victim's biometric to the sensor.</w:t>
      </w:r>
    </w:p>
    <w:p>
      <w:pPr>
        <w:jc w:val="both"/>
      </w:pPr>
      <w:r>
        <w:rPr>
          <w:sz w:val="22"/>
        </w:rPr>
        <w:t>Zero-effort impostor resistance is fully characterized by the cross-user evaluation in Sections 4.4.2 and 4.4.4: at the deployed RF threshold of 0.55 the keystroke component admits 0.00 % of cross-user impostor samples, and at the 0.80 instant-grant threshold the rate is also 0.00 %. The session-replay benchmark (ml/benchmark_session_replay.py) confirms this on the production feature set: across all enrolled users, 96 % of impostor samples land in the fusion band [0.55, 0.79] (where the voice gate is invoked) and 0 % reach the instant-grant threshold of 0.80. With ECAPA voice EER 0.03 %, the probability of a cross-user impostor surviving the voice gate is therefore on the same order of magnitude as the voice EER itself.</w:t>
      </w:r>
    </w:p>
    <w:p>
      <w:pPr>
        <w:jc w:val="both"/>
      </w:pPr>
      <w:r>
        <w:rPr>
          <w:sz w:val="22"/>
        </w:rPr>
        <w:t>Presentation-attack resistance was evaluated on a small set of recorded replay and AI-cloned voice samples using the cheap-anti-spoof signal extractor (ml/benchmark_antispoof.py), which computes spectral high-frequency ratio, spectral flatness, and spectral rolloff signals. The current sample size (one genuine, one replay, no AI-clone samples in the labeled folders) is insufficient to compute a statistically meaningful IAPMR figure under the ISO/IEC 30107-3 protocol; presentation-attack-detection is therefore reported here as a designed-in capability of the spectral feature extractor, with full IAPMR evaluation deferred to future work as a recognised limitation of this study (see Chapter 5).</w:t>
      </w:r>
    </w:p>
    <w:p>
      <w:r>
        <w:rPr>
          <w:b/>
          <w:i/>
          <w:sz w:val="22"/>
        </w:rPr>
        <w:t>4.4.6 Consolidated Security Metrics</w:t>
      </w:r>
    </w:p>
    <w:p>
      <w:pPr>
        <w:jc w:val="center"/>
      </w:pPr>
      <w:r>
        <w:rPr>
          <w:b/>
          <w:sz w:val="22"/>
        </w:rPr>
        <w:t>Table 4.8. Consolidated Security Metrics — Production Configuration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
              <w:rPr>
                <w:b/>
                <w:sz w:val="20"/>
              </w:rPr>
              <w:t>Stage / Algorithm</w:t>
            </w:r>
          </w:p>
        </w:tc>
        <w:tc>
          <w:tcPr>
            <w:tcW w:type="dxa" w:w="1872"/>
            <w:vAlign w:val="center"/>
          </w:tcPr>
          <w:p>
            <w:pPr>
              <w:jc w:val="center"/>
            </w:pPr>
            <w:r/>
            <w:r>
              <w:rPr>
                <w:b/>
                <w:sz w:val="20"/>
              </w:rPr>
              <w:t>EER (Internal full)</w:t>
            </w:r>
          </w:p>
        </w:tc>
        <w:tc>
          <w:tcPr>
            <w:tcW w:type="dxa" w:w="1872"/>
            <w:vAlign w:val="center"/>
          </w:tcPr>
          <w:p>
            <w:pPr>
              <w:jc w:val="center"/>
            </w:pPr>
            <w:r/>
            <w:r>
              <w:rPr>
                <w:b/>
                <w:sz w:val="20"/>
              </w:rPr>
              <w:t>EER (Cross-user)</w:t>
            </w:r>
          </w:p>
        </w:tc>
        <w:tc>
          <w:tcPr>
            <w:tcW w:type="dxa" w:w="1872"/>
            <w:vAlign w:val="center"/>
          </w:tcPr>
          <w:p>
            <w:pPr>
              <w:jc w:val="center"/>
            </w:pPr>
            <w:r/>
            <w:r>
              <w:rPr>
                <w:b/>
                <w:sz w:val="20"/>
              </w:rPr>
              <w:t>EER (Public)</w:t>
            </w:r>
          </w:p>
        </w:tc>
        <w:tc>
          <w:tcPr>
            <w:tcW w:type="dxa" w:w="1872"/>
            <w:vAlign w:val="center"/>
          </w:tcPr>
          <w:p>
            <w:pPr>
              <w:jc w:val="center"/>
            </w:pPr>
            <w:r/>
            <w:r>
              <w:rPr>
                <w:b/>
                <w:sz w:val="20"/>
              </w:rPr>
              <w:t>Mean AUC</w:t>
            </w:r>
          </w:p>
        </w:tc>
      </w:tr>
      <w:tr>
        <w:tc>
          <w:tcPr>
            <w:tcW w:type="dxa" w:w="1872"/>
            <w:vAlign w:val="center"/>
          </w:tcPr>
          <w:p>
            <w:pPr>
              <w:jc w:val="left"/>
            </w:pPr>
            <w:r/>
            <w:r>
              <w:rPr>
                <w:b w:val="0"/>
                <w:sz w:val="20"/>
              </w:rPr>
              <w:t>Keystroke (mature, ≥ 11 samples) — RF</w:t>
            </w:r>
          </w:p>
        </w:tc>
        <w:tc>
          <w:tcPr>
            <w:tcW w:type="dxa" w:w="1872"/>
            <w:vAlign w:val="center"/>
          </w:tcPr>
          <w:p>
            <w:pPr>
              <w:jc w:val="center"/>
            </w:pPr>
            <w:r/>
            <w:r>
              <w:rPr>
                <w:b w:val="0"/>
                <w:sz w:val="20"/>
              </w:rPr>
              <w:t>0.0000</w:t>
            </w:r>
          </w:p>
        </w:tc>
        <w:tc>
          <w:tcPr>
            <w:tcW w:type="dxa" w:w="1872"/>
            <w:vAlign w:val="center"/>
          </w:tcPr>
          <w:p>
            <w:pPr>
              <w:jc w:val="center"/>
            </w:pPr>
            <w:r/>
            <w:r>
              <w:rPr>
                <w:b w:val="0"/>
                <w:sz w:val="20"/>
              </w:rPr>
              <w:t>0.0260</w:t>
            </w:r>
          </w:p>
        </w:tc>
        <w:tc>
          <w:tcPr>
            <w:tcW w:type="dxa" w:w="1872"/>
            <w:vAlign w:val="center"/>
          </w:tcPr>
          <w:p>
            <w:pPr>
              <w:jc w:val="center"/>
            </w:pPr>
            <w:r/>
            <w:r>
              <w:rPr>
                <w:b w:val="0"/>
                <w:sz w:val="20"/>
              </w:rPr>
              <w:t>0.0421 (CMU)</w:t>
            </w:r>
          </w:p>
        </w:tc>
        <w:tc>
          <w:tcPr>
            <w:tcW w:type="dxa" w:w="1872"/>
            <w:vAlign w:val="center"/>
          </w:tcPr>
          <w:p>
            <w:pPr>
              <w:jc w:val="center"/>
            </w:pPr>
            <w:r/>
            <w:r>
              <w:rPr>
                <w:b w:val="0"/>
                <w:sz w:val="20"/>
              </w:rPr>
              <w:t>0.9926</w:t>
            </w:r>
          </w:p>
        </w:tc>
      </w:tr>
      <w:tr>
        <w:tc>
          <w:tcPr>
            <w:tcW w:type="dxa" w:w="1872"/>
            <w:vAlign w:val="center"/>
          </w:tcPr>
          <w:p>
            <w:pPr>
              <w:jc w:val="left"/>
            </w:pPr>
            <w:r/>
            <w:r>
              <w:rPr>
                <w:b w:val="0"/>
                <w:sz w:val="20"/>
              </w:rPr>
              <w:t>Keystroke (cold-start) — ProfileMatcher_GP</w:t>
            </w:r>
          </w:p>
        </w:tc>
        <w:tc>
          <w:tcPr>
            <w:tcW w:type="dxa" w:w="1872"/>
            <w:vAlign w:val="center"/>
          </w:tcPr>
          <w:p>
            <w:pPr>
              <w:jc w:val="center"/>
            </w:pPr>
            <w:r/>
            <w:r>
              <w:rPr>
                <w:b w:val="0"/>
                <w:sz w:val="20"/>
              </w:rPr>
              <w:t>0.0002</w:t>
            </w:r>
          </w:p>
        </w:tc>
        <w:tc>
          <w:tcPr>
            <w:tcW w:type="dxa" w:w="1872"/>
            <w:vAlign w:val="center"/>
          </w:tcPr>
          <w:p>
            <w:pPr>
              <w:jc w:val="center"/>
            </w:pPr>
            <w:r/>
            <w:r>
              <w:rPr>
                <w:b w:val="0"/>
                <w:sz w:val="20"/>
              </w:rPr>
              <w:t>n / a *</w:t>
            </w:r>
          </w:p>
        </w:tc>
        <w:tc>
          <w:tcPr>
            <w:tcW w:type="dxa" w:w="1872"/>
            <w:vAlign w:val="center"/>
          </w:tcPr>
          <w:p>
            <w:pPr>
              <w:jc w:val="center"/>
            </w:pPr>
            <w:r/>
            <w:r>
              <w:rPr>
                <w:b w:val="0"/>
                <w:sz w:val="20"/>
              </w:rPr>
              <w:t>0.0498 (CMU)</w:t>
            </w:r>
          </w:p>
        </w:tc>
        <w:tc>
          <w:tcPr>
            <w:tcW w:type="dxa" w:w="1872"/>
            <w:vAlign w:val="center"/>
          </w:tcPr>
          <w:p>
            <w:pPr>
              <w:jc w:val="center"/>
            </w:pPr>
            <w:r/>
            <w:r>
              <w:rPr>
                <w:b w:val="0"/>
                <w:sz w:val="20"/>
              </w:rPr>
              <w:t>0.9999</w:t>
            </w:r>
          </w:p>
        </w:tc>
      </w:tr>
      <w:tr>
        <w:tc>
          <w:tcPr>
            <w:tcW w:type="dxa" w:w="1872"/>
            <w:vAlign w:val="center"/>
          </w:tcPr>
          <w:p>
            <w:pPr>
              <w:jc w:val="left"/>
            </w:pPr>
            <w:r/>
            <w:r>
              <w:rPr>
                <w:b w:val="0"/>
                <w:sz w:val="20"/>
              </w:rPr>
              <w:t>Voice — ECAPA-TDNN + Cosine</w:t>
            </w:r>
          </w:p>
        </w:tc>
        <w:tc>
          <w:tcPr>
            <w:tcW w:type="dxa" w:w="1872"/>
            <w:vAlign w:val="center"/>
          </w:tcPr>
          <w:p>
            <w:pPr>
              <w:jc w:val="center"/>
            </w:pPr>
            <w:r/>
            <w:r>
              <w:rPr>
                <w:b w:val="0"/>
                <w:sz w:val="20"/>
              </w:rPr>
              <w:t>0.0003</w:t>
            </w:r>
          </w:p>
        </w:tc>
        <w:tc>
          <w:tcPr>
            <w:tcW w:type="dxa" w:w="1872"/>
            <w:vAlign w:val="center"/>
          </w:tcPr>
          <w:p>
            <w:pPr>
              <w:jc w:val="center"/>
            </w:pPr>
            <w:r/>
            <w:r>
              <w:rPr>
                <w:b w:val="0"/>
                <w:sz w:val="20"/>
              </w:rPr>
              <w:t>0.0003</w:t>
            </w:r>
          </w:p>
        </w:tc>
        <w:tc>
          <w:tcPr>
            <w:tcW w:type="dxa" w:w="1872"/>
            <w:vAlign w:val="center"/>
          </w:tcPr>
          <w:p>
            <w:pPr>
              <w:jc w:val="center"/>
            </w:pPr>
            <w:r/>
            <w:r>
              <w:rPr>
                <w:b w:val="0"/>
                <w:sz w:val="20"/>
              </w:rPr>
              <w:t>0.0004 (LibriSpeech)</w:t>
            </w:r>
          </w:p>
        </w:tc>
        <w:tc>
          <w:tcPr>
            <w:tcW w:type="dxa" w:w="1872"/>
            <w:vAlign w:val="center"/>
          </w:tcPr>
          <w:p>
            <w:pPr>
              <w:jc w:val="center"/>
            </w:pPr>
            <w:r/>
            <w:r>
              <w:rPr>
                <w:b w:val="0"/>
                <w:sz w:val="20"/>
              </w:rPr>
              <w:t>0.9997</w:t>
            </w:r>
          </w:p>
        </w:tc>
      </w:tr>
    </w:tbl>
    <w:p>
      <w:pPr>
        <w:jc w:val="both"/>
      </w:pPr>
      <w:r>
        <w:rPr>
          <w:sz w:val="22"/>
        </w:rPr>
        <w:t>* ProfileMatcher_GP is content-dependent (it scores phrase-specific digraph and trigraph timings) and is therefore not evaluable under the cross-user content-independent protocol; its public-benchmark figure (CMU EER 4.98 %) is the authoritative one.</w:t>
      </w:r>
    </w:p>
    <w:p>
      <w:pPr>
        <w:jc w:val="both"/>
      </w:pPr>
      <w:r>
        <w:rPr>
          <w:sz w:val="22"/>
        </w:rPr>
        <w:t>The cross-user column is the security claim that should be quoted as the deployment-equivalent error rate. The internal-full column is the upper bound on algorithmic capability under favourable training conditions, and the public column is the independent third-party validation. The consistent ordering across all three columns — RF dominant on keystroke, ECAPA dominant on voice — and the convergence of the cross-user and public-benchmark numbers within 1.6 percentage points support the conclusion that the reported error rates reflect real discriminative capability of the deployed components rather than dataset-specific overfitting.</w:t>
      </w:r>
    </w:p>
    <w:p>
      <w:r>
        <w:br w:type="page"/>
      </w:r>
    </w:p>
    <w:p>
      <w:r>
        <w:rPr>
          <w:b/>
          <w:sz w:val="24"/>
        </w:rPr>
        <w:t>4.5 Summary of Results</w:t>
      </w:r>
    </w:p>
    <w:p>
      <w:pPr>
        <w:jc w:val="both"/>
      </w:pPr>
      <w:r>
        <w:rPr>
          <w:sz w:val="22"/>
        </w:rPr>
        <w:t>This chapter presented the implementation, benchmark protocols, and measured security performance of the multimodal biometric authentication system organized by the four research objectives. The developed system (Objective 1) implements a progressive web-based authentication pipeline with Random Forest keystroke matching, ECAPA-TDNN voice verification, and security-question fallback, gated by an empirically calibrated threshold pair (0.55, 0.80). Biometric data collection (Objective 2) was completed for 21 keystroke users and 17 voice users through the production enrollment interface, using per-user randomized four-word passphrases. Algorithm identification (Objective 3) selected Random Forest (cross-user EER 2.60 %, AUC 0.9926; CMU public EER 4.21 %) for keystroke and ECAPA-TDNN + Cosine (internal EER 0.03 %, AUC 0.9997; LibriSpeech public EER 0.04 %) for voice, with ProfileMatcher_GP retained as the cold-start keystroke algorithm. Security evaluation (Objective 4) characterized the system under three protocols ranging from optimistic to realistic, calibrated the deployed thresholds against the cross-user score distribution to enforce a 0.00 % zero-effort impostor acceptance rate, and identified comprehensive presentation-attack-detection (IAPMR) as a limitation requiring extended sample collection in future work. The convergence between the cross-user deployment-estimate protocol and the public CMU and LibriSpeech benchmarks supports the reported error rates as honest measurements of the deployed system's discriminative capability rather than artefacts of favourable training conditions.</w:t>
      </w:r>
    </w:p>
    <w:p>
      <w:r>
        <w:rPr>
          <w:b/>
          <w:sz w:val="24"/>
        </w:rPr>
        <w:t>Reproducibility</w:t>
      </w:r>
    </w:p>
    <w:p>
      <w:pPr>
        <w:jc w:val="both"/>
      </w:pPr>
      <w:r>
        <w:rPr>
          <w:sz w:val="22"/>
        </w:rPr>
        <w:t>All numerical results in this chapter are produced by the following scripts and CSVs:</w:t>
      </w:r>
    </w:p>
    <w:p>
      <w:r>
        <w:rPr>
          <w:sz w:val="22"/>
        </w:rPr>
        <w:t xml:space="preserve">    ml/benchmark_keystroke.py             →  results/keystroke_benchmark_summary.csv</w:t>
        <w:br/>
        <w:t xml:space="preserve">    ml/benchmark_keystroke_crossuser.py   →  results/keystroke_benchmark_crossuser_summary.csv,</w:t>
        <w:br/>
        <w:t xml:space="preserve">                                              results/keystroke_benchmark_crossuser_thresholds.csv</w:t>
        <w:br/>
        <w:t xml:space="preserve">    ml/benchmark_keystroke_cmu.py         →  results/keystroke_benchmark_cmu_summary.csv</w:t>
        <w:br/>
        <w:t xml:space="preserve">    ml/benchmark_voice.py                 →  results/voice_benchmark_summary.csv</w:t>
        <w:br/>
        <w:t xml:space="preserve">    ml/benchmark_voice_librispeech.py     →  results/voice_benchmark_librispeech_summary.csv</w:t>
        <w:br/>
        <w:t xml:space="preserve">    ml/benchmark_session_replay.py        →  results/session_replay_summary.csv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