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C6BF" w14:textId="77777777" w:rsidR="0003564F" w:rsidRDefault="00000000">
      <w:pPr>
        <w:pStyle w:val="Heading1"/>
      </w:pPr>
      <w:bookmarkStart w:id="0" w:name="openalex-synbio-dataset-stats-report"/>
      <w:r>
        <w:t>OpenAlex SynBio Dataset Stats Report</w:t>
      </w:r>
    </w:p>
    <w:p w14:paraId="374D3E9E" w14:textId="77777777" w:rsidR="0003564F" w:rsidRDefault="00000000">
      <w:pPr>
        <w:pStyle w:val="Heading2"/>
      </w:pPr>
      <w:bookmarkStart w:id="1" w:name="data-provenance"/>
      <w:r>
        <w:t>Data Provenance</w:t>
      </w:r>
    </w:p>
    <w:p w14:paraId="2967F3D7" w14:textId="58CDFCAB" w:rsidR="0003564F" w:rsidRDefault="00000000">
      <w:pPr>
        <w:pStyle w:val="FirstParagraph"/>
      </w:pPr>
      <w:r>
        <w:t xml:space="preserve">Data sourced from OpenAlex </w:t>
      </w:r>
      <w:r w:rsidR="007F0DA5">
        <w:t xml:space="preserve">through the public API as specified in the accompanying Python Notebook using the Synthetic Biology query terms present in the file </w:t>
      </w:r>
      <w:proofErr w:type="spellStart"/>
      <w:r w:rsidR="007F0DA5">
        <w:rPr>
          <w:rStyle w:val="VerbatimChar"/>
        </w:rPr>
        <w:t>query.yml</w:t>
      </w:r>
      <w:proofErr w:type="spellEnd"/>
      <w:r w:rsidR="007F0DA5">
        <w:t xml:space="preserve"> taken from </w:t>
      </w:r>
      <w:hyperlink r:id="rId5" w:history="1">
        <w:r w:rsidR="007F0DA5">
          <w:rPr>
            <w:rStyle w:val="Hyperlink"/>
            <w:u w:val="single"/>
          </w:rPr>
          <w:t xml:space="preserve">Baaden, P., Bröring, S., </w:t>
        </w:r>
        <w:proofErr w:type="spellStart"/>
        <w:r w:rsidR="007F0DA5">
          <w:rPr>
            <w:rStyle w:val="Hyperlink"/>
            <w:u w:val="single"/>
          </w:rPr>
          <w:t>Rennings</w:t>
        </w:r>
        <w:proofErr w:type="spellEnd"/>
        <w:r w:rsidR="007F0DA5">
          <w:rPr>
            <w:rStyle w:val="Hyperlink"/>
            <w:u w:val="single"/>
          </w:rPr>
          <w:t>, M., &amp; Shapira, P. (2026).</w:t>
        </w:r>
      </w:hyperlink>
      <w:r>
        <w:t xml:space="preserve"> Records acquisition was conducted in </w:t>
      </w:r>
      <w:r w:rsidR="007F0DA5">
        <w:t>7</w:t>
      </w:r>
      <w:r>
        <w:t xml:space="preserve"> parts due to the </w:t>
      </w:r>
      <w:proofErr w:type="spellStart"/>
      <w:r>
        <w:t>OpeAlex</w:t>
      </w:r>
      <w:proofErr w:type="spellEnd"/>
      <w:r>
        <w:t xml:space="preserve"> API</w:t>
      </w:r>
      <w:r w:rsidR="007F0DA5">
        <w:t>'s query length restrictions</w:t>
      </w:r>
      <w:r>
        <w:t xml:space="preserve">. </w:t>
      </w:r>
      <w:r w:rsidR="007F0DA5">
        <w:t xml:space="preserve">Data sourced by </w:t>
      </w:r>
      <w:r>
        <w:t>Cristian Mejia (University of Tokyo).</w:t>
      </w:r>
    </w:p>
    <w:p w14:paraId="14023AAD" w14:textId="77777777" w:rsidR="0003564F" w:rsidRDefault="00000000">
      <w:pPr>
        <w:pStyle w:val="BodyText"/>
      </w:pPr>
      <w:r>
        <w:t>This dataset is built by merging all local OpenAlex part exports (</w:t>
      </w:r>
      <w:r>
        <w:rPr>
          <w:rStyle w:val="VerbatimChar"/>
        </w:rPr>
        <w:t>synbio_openalex_PART_*.txt</w:t>
      </w:r>
      <w:r>
        <w:t>) generated by the project retrieval notebook, then deduplicating by work ID, and removing records without abstracts.</w:t>
      </w:r>
    </w:p>
    <w:p w14:paraId="3491C1D6" w14:textId="77777777" w:rsidR="0003564F" w:rsidRDefault="00000000">
      <w:pPr>
        <w:pStyle w:val="Compact"/>
        <w:numPr>
          <w:ilvl w:val="0"/>
          <w:numId w:val="2"/>
        </w:numPr>
      </w:pPr>
      <w:r>
        <w:t xml:space="preserve">Year range available: </w:t>
      </w:r>
      <w:r>
        <w:rPr>
          <w:b/>
          <w:bCs/>
        </w:rPr>
        <w:t>1950–2025</w:t>
      </w:r>
    </w:p>
    <w:p w14:paraId="56C5F10D" w14:textId="77777777" w:rsidR="0003564F" w:rsidRDefault="00000000">
      <w:pPr>
        <w:pStyle w:val="Compact"/>
        <w:numPr>
          <w:ilvl w:val="0"/>
          <w:numId w:val="2"/>
        </w:numPr>
      </w:pPr>
      <w:r>
        <w:t xml:space="preserve">Date of retrieval/report generation: </w:t>
      </w:r>
      <w:r>
        <w:rPr>
          <w:b/>
          <w:bCs/>
        </w:rPr>
        <w:t>2025-11-30</w:t>
      </w:r>
    </w:p>
    <w:p w14:paraId="02BD766A" w14:textId="77777777" w:rsidR="0003564F" w:rsidRDefault="00000000">
      <w:pPr>
        <w:pStyle w:val="Compact"/>
        <w:numPr>
          <w:ilvl w:val="0"/>
          <w:numId w:val="2"/>
        </w:numPr>
      </w:pPr>
      <w:r>
        <w:t xml:space="preserve">Records downloaded: </w:t>
      </w:r>
      <w:r>
        <w:rPr>
          <w:b/>
          <w:bCs/>
        </w:rPr>
        <w:t>32,597</w:t>
      </w:r>
    </w:p>
    <w:p w14:paraId="39746932" w14:textId="77777777" w:rsidR="0003564F" w:rsidRDefault="00000000">
      <w:pPr>
        <w:pStyle w:val="Compact"/>
        <w:numPr>
          <w:ilvl w:val="0"/>
          <w:numId w:val="2"/>
        </w:numPr>
      </w:pPr>
      <w:r>
        <w:t xml:space="preserve">Records with non-empty abstracts: </w:t>
      </w:r>
      <w:r>
        <w:rPr>
          <w:b/>
          <w:bCs/>
        </w:rPr>
        <w:t>24,202</w:t>
      </w:r>
    </w:p>
    <w:p w14:paraId="41F46ED8" w14:textId="77777777" w:rsidR="0003564F" w:rsidRDefault="00000000">
      <w:pPr>
        <w:pStyle w:val="Compact"/>
        <w:numPr>
          <w:ilvl w:val="0"/>
          <w:numId w:val="2"/>
        </w:numPr>
      </w:pPr>
      <w:r>
        <w:t xml:space="preserve">Total records used in this report: </w:t>
      </w:r>
      <w:r>
        <w:rPr>
          <w:b/>
          <w:bCs/>
        </w:rPr>
        <w:t>24,202</w:t>
      </w:r>
    </w:p>
    <w:p w14:paraId="594D307B" w14:textId="77777777" w:rsidR="0003564F" w:rsidRDefault="00000000">
      <w:pPr>
        <w:pStyle w:val="Heading2"/>
      </w:pPr>
      <w:bookmarkStart w:id="2" w:name="yearly-trends"/>
      <w:bookmarkEnd w:id="1"/>
      <w:r>
        <w:t>Yearly Trends</w:t>
      </w:r>
    </w:p>
    <w:p w14:paraId="0149BAA0" w14:textId="77777777" w:rsidR="0003564F" w:rsidRDefault="00000000">
      <w:pPr>
        <w:pStyle w:val="CaptionedFigure"/>
      </w:pPr>
      <w:r>
        <w:rPr>
          <w:noProof/>
        </w:rPr>
        <w:drawing>
          <wp:inline distT="0" distB="0" distL="0" distR="0" wp14:anchorId="13ECD75A" wp14:editId="000E5C1C">
            <wp:extent cx="5334000" cy="2199356"/>
            <wp:effectExtent l="0" t="0" r="0" b="0"/>
            <wp:docPr id="12" name="Picture" descr="Articles per y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figures/yearly_tren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893ABC" w14:textId="77777777" w:rsidR="0003564F" w:rsidRDefault="00000000">
      <w:pPr>
        <w:pStyle w:val="ImageCaption"/>
      </w:pPr>
      <w:r>
        <w:t>Articles per year</w:t>
      </w:r>
    </w:p>
    <w:p w14:paraId="1F9EF107" w14:textId="77777777" w:rsidR="0003564F" w:rsidRDefault="00000000">
      <w:pPr>
        <w:pStyle w:val="BodyText"/>
      </w:pPr>
      <w:r>
        <w:t>Publication volume increases substantially over time, indicating sustained expansion of the synthetic biology literature.</w:t>
      </w:r>
    </w:p>
    <w:p w14:paraId="2F915766" w14:textId="77777777" w:rsidR="0003564F" w:rsidRDefault="00000000">
      <w:pPr>
        <w:pStyle w:val="Heading2"/>
      </w:pPr>
      <w:bookmarkStart w:id="3" w:name="country-stats"/>
      <w:bookmarkEnd w:id="2"/>
      <w:r>
        <w:lastRenderedPageBreak/>
        <w:t>Country Stats</w:t>
      </w:r>
    </w:p>
    <w:p w14:paraId="75D2A893" w14:textId="77777777" w:rsidR="0003564F" w:rsidRDefault="00000000">
      <w:pPr>
        <w:pStyle w:val="CaptionedFigure"/>
      </w:pPr>
      <w:r>
        <w:rPr>
          <w:noProof/>
        </w:rPr>
        <w:drawing>
          <wp:inline distT="0" distB="0" distL="0" distR="0" wp14:anchorId="41F04B6E" wp14:editId="3A8A89B6">
            <wp:extent cx="5334000" cy="3720311"/>
            <wp:effectExtent l="0" t="0" r="0" b="0"/>
            <wp:docPr id="16" name="Picture" descr="Top coun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country_top2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A00A8" w14:textId="77777777" w:rsidR="0003564F" w:rsidRDefault="00000000">
      <w:pPr>
        <w:pStyle w:val="ImageCaption"/>
      </w:pPr>
      <w:r>
        <w:t>Top countries</w:t>
      </w:r>
    </w:p>
    <w:p w14:paraId="081808D2" w14:textId="77777777" w:rsidR="0003564F" w:rsidRDefault="00000000">
      <w:pPr>
        <w:pStyle w:val="BodyText"/>
      </w:pPr>
      <w:r>
        <w:t>Country contribution is concentrated in a core set of high-output countries.</w:t>
      </w:r>
    </w:p>
    <w:p w14:paraId="1D172753" w14:textId="77777777" w:rsidR="0003564F" w:rsidRDefault="00000000">
      <w:pPr>
        <w:pStyle w:val="Heading2"/>
      </w:pPr>
      <w:bookmarkStart w:id="4" w:name="country-yearly-trends-raw-frequency"/>
      <w:bookmarkEnd w:id="3"/>
      <w:r>
        <w:t>Country Yearly Trends (Raw Frequency)</w:t>
      </w:r>
    </w:p>
    <w:p w14:paraId="1C4C5620" w14:textId="77777777" w:rsidR="0003564F" w:rsidRDefault="00000000">
      <w:pPr>
        <w:pStyle w:val="CaptionedFigure"/>
      </w:pPr>
      <w:r>
        <w:rPr>
          <w:noProof/>
        </w:rPr>
        <w:drawing>
          <wp:inline distT="0" distB="0" distL="0" distR="0" wp14:anchorId="6FD1EEEB" wp14:editId="63C7AB79">
            <wp:extent cx="5334000" cy="2683262"/>
            <wp:effectExtent l="0" t="0" r="0" b="0"/>
            <wp:docPr id="20" name="Picture" descr="Country yearly raw tre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igures/country_trend_ra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0BB3A" w14:textId="77777777" w:rsidR="0003564F" w:rsidRDefault="00000000">
      <w:pPr>
        <w:pStyle w:val="ImageCaption"/>
      </w:pPr>
      <w:r>
        <w:t>Country yearly raw trend</w:t>
      </w:r>
    </w:p>
    <w:p w14:paraId="466B835A" w14:textId="77777777" w:rsidR="0003564F" w:rsidRDefault="00000000">
      <w:pPr>
        <w:pStyle w:val="BodyText"/>
      </w:pPr>
      <w:r>
        <w:lastRenderedPageBreak/>
        <w:t>The trend starts in 2004 for comparability with iGEM, while the note in the figure reports how many papers exist before 2004.</w:t>
      </w:r>
    </w:p>
    <w:p w14:paraId="259AE106" w14:textId="77777777" w:rsidR="0003564F" w:rsidRDefault="00000000">
      <w:pPr>
        <w:pStyle w:val="Heading2"/>
      </w:pPr>
      <w:bookmarkStart w:id="5" w:name="country-yearly-trends-normalized"/>
      <w:bookmarkEnd w:id="4"/>
      <w:r>
        <w:t>Country Yearly Trends (Normalized)</w:t>
      </w:r>
    </w:p>
    <w:p w14:paraId="41B7680A" w14:textId="77777777" w:rsidR="0003564F" w:rsidRDefault="00000000">
      <w:pPr>
        <w:pStyle w:val="CaptionedFigure"/>
      </w:pPr>
      <w:r>
        <w:rPr>
          <w:noProof/>
        </w:rPr>
        <w:drawing>
          <wp:inline distT="0" distB="0" distL="0" distR="0" wp14:anchorId="7E0A35C4" wp14:editId="68BDA739">
            <wp:extent cx="5334000" cy="2683262"/>
            <wp:effectExtent l="0" t="0" r="0" b="0"/>
            <wp:docPr id="24" name="Picture" descr="Country yearly normalized tre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country_trend_nor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F1EB3" w14:textId="77777777" w:rsidR="0003564F" w:rsidRDefault="00000000">
      <w:pPr>
        <w:pStyle w:val="ImageCaption"/>
      </w:pPr>
      <w:r>
        <w:t>Country yearly normalized trend</w:t>
      </w:r>
    </w:p>
    <w:p w14:paraId="28E9956A" w14:textId="77777777" w:rsidR="0003564F" w:rsidRDefault="00000000">
      <w:pPr>
        <w:pStyle w:val="BodyText"/>
      </w:pPr>
      <w:r>
        <w:t>Normalization divides each country count by the total papers in that year to show relative contribution shares over time.</w:t>
      </w:r>
    </w:p>
    <w:p w14:paraId="2415DBED" w14:textId="77777777" w:rsidR="0003564F" w:rsidRDefault="00000000">
      <w:pPr>
        <w:pStyle w:val="Heading2"/>
      </w:pPr>
      <w:bookmarkStart w:id="6" w:name="others-concepts"/>
      <w:bookmarkEnd w:id="5"/>
      <w:r>
        <w:lastRenderedPageBreak/>
        <w:t>Others (Concepts)</w:t>
      </w:r>
    </w:p>
    <w:p w14:paraId="75A2D375" w14:textId="77777777" w:rsidR="0003564F" w:rsidRDefault="00000000">
      <w:pPr>
        <w:pStyle w:val="CaptionedFigure"/>
      </w:pPr>
      <w:r>
        <w:rPr>
          <w:noProof/>
        </w:rPr>
        <w:drawing>
          <wp:inline distT="0" distB="0" distL="0" distR="0" wp14:anchorId="4EC51BAF" wp14:editId="7AC3EA94">
            <wp:extent cx="5334000" cy="3715187"/>
            <wp:effectExtent l="0" t="0" r="0" b="0"/>
            <wp:docPr id="28" name="Picture" descr="Top concep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ures/concepts_top2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730D6" w14:textId="77777777" w:rsidR="0003564F" w:rsidRDefault="00000000">
      <w:pPr>
        <w:pStyle w:val="ImageCaption"/>
      </w:pPr>
      <w:r>
        <w:t>Top concepts</w:t>
      </w:r>
    </w:p>
    <w:p w14:paraId="7D39227C" w14:textId="77777777" w:rsidR="0003564F" w:rsidRDefault="00000000">
      <w:pPr>
        <w:pStyle w:val="BodyText"/>
      </w:pPr>
      <w:r>
        <w:t>Top concepts summarize major themes represented in the OpenAlex corpus.</w:t>
      </w:r>
      <w:bookmarkEnd w:id="0"/>
      <w:bookmarkEnd w:id="6"/>
    </w:p>
    <w:sectPr w:rsidR="000356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821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C037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50989444">
    <w:abstractNumId w:val="0"/>
  </w:num>
  <w:num w:numId="2" w16cid:durableId="1522888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64F"/>
    <w:rsid w:val="0003564F"/>
    <w:rsid w:val="007F0DA5"/>
    <w:rsid w:val="00FF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AEA59"/>
  <w15:docId w15:val="{B65D4C64-067B-CD47-AC81-246E50FE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i.org/10.1016/j.respol.2025.10539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235</Words>
  <Characters>1420</Characters>
  <Application>Microsoft Office Word</Application>
  <DocSecurity>0</DocSecurity>
  <Lines>40</Lines>
  <Paragraphs>29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Cristian Mejia</cp:lastModifiedBy>
  <cp:revision>2</cp:revision>
  <dcterms:created xsi:type="dcterms:W3CDTF">2026-05-20T07:01:00Z</dcterms:created>
  <dcterms:modified xsi:type="dcterms:W3CDTF">2026-05-20T07:04:00Z</dcterms:modified>
</cp:coreProperties>
</file>