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reporting practices,</w:t>
      </w:r>
      <w:r>
        <w:t xml:space="preserve"> </w:t>
      </w:r>
      <w:r>
        <w:rPr>
          <w:i/>
          <w:iCs/>
        </w:rPr>
        <w:t xml:space="preserve">p</w:t>
      </w:r>
      <w:r>
        <w:t xml:space="preserve"> </w:t>
      </w:r>
      <w:r>
        <w:t xml:space="preserve">value reproducibility, and data sharing in 350 sport and exercise science studies: a manual and automated audit</w:t>
      </w:r>
    </w:p>
    <w:p>
      <w:pPr>
        <w:pStyle w:val="Author"/>
      </w:pPr>
      <w:r>
        <w:t xml:space="preserve">Joe Warne¹</w:t>
      </w:r>
    </w:p>
    <w:p>
      <w:pPr>
        <w:pStyle w:val="Author"/>
      </w:pPr>
      <w:r>
        <w:t xml:space="preserve">Jennifer Murphy²</w:t>
      </w:r>
    </w:p>
    <w:p>
      <w:pPr>
        <w:pStyle w:val="Author"/>
      </w:pPr>
      <w:r>
        <w:t xml:space="preserve">Daniël Lakens³</w:t>
      </w:r>
    </w:p>
    <w:p>
      <w:pPr>
        <w:pStyle w:val="Author"/>
      </w:pPr>
      <w:r>
        <w:t xml:space="preserve">Cristian Mesquida³</w:t>
      </w:r>
    </w:p>
    <w:bookmarkStart w:id="9" w:name="abstract"/>
    <w:p>
      <w:pPr>
        <w:pStyle w:val="Heading4"/>
      </w:pPr>
      <w:r>
        <w:t xml:space="preserve">Abstract</w:t>
      </w:r>
    </w:p>
    <w:p>
      <w:pPr>
        <w:pStyle w:val="FirstParagraph"/>
      </w:pPr>
      <w:r>
        <w:rPr>
          <w:b/>
          <w:bCs/>
        </w:rPr>
        <w:t xml:space="preserve">Background.</w:t>
      </w:r>
      <w:r>
        <w:t xml:space="preserve"> </w:t>
      </w:r>
      <w:r>
        <w:t xml:space="preserve">Accurate and complete reporting of inferential statistics is foundational to reproducibility, evidence synthesis, and the cumulative growth of a scientific field. Prior audits in related disciplines have documented incomplete reporting and</w:t>
      </w:r>
      <w:r>
        <w:t xml:space="preserve"> </w:t>
      </w:r>
      <w:r>
        <w:rPr>
          <w:i/>
          <w:iCs/>
        </w:rPr>
        <w:t xml:space="preserve">p</w:t>
      </w:r>
      <w:r>
        <w:t xml:space="preserve">-value inconsistencies. Data on reporting quality in sport and exercise science (SES) is scarce.</w:t>
      </w:r>
    </w:p>
    <w:p>
      <w:pPr>
        <w:pStyle w:val="BodyText"/>
      </w:pPr>
      <w:r>
        <w:rPr>
          <w:b/>
          <w:bCs/>
        </w:rPr>
        <w:t xml:space="preserve">Aims.</w:t>
      </w:r>
      <w:r>
        <w:t xml:space="preserve"> </w:t>
      </w:r>
      <w:r>
        <w:t xml:space="preserve">We pre-registered three aims: (1) describe the reporting practices of null hypothesis significance testing (NHST) results for the main effect of interest across 350 articles from 10 quartile 1 applied SES journals; (2) assess the reproducibility of reported</w:t>
      </w:r>
      <w:r>
        <w:t xml:space="preserve"> </w:t>
      </w:r>
      <w:r>
        <w:rPr>
          <w:i/>
          <w:iCs/>
        </w:rPr>
        <w:t xml:space="preserve">p</w:t>
      </w:r>
      <w:r>
        <w:t xml:space="preserve">-values where sufficient statistical information was provided; and (3) report the proportion of studies that share raw data. As an exploratory addition, we applied an automated tool (</w:t>
      </w:r>
      <w:r>
        <w:rPr>
          <w:i/>
          <w:iCs/>
        </w:rPr>
        <w:t xml:space="preserve">Metacheck)</w:t>
      </w:r>
      <w:r>
        <w:t xml:space="preserve"> </w:t>
      </w:r>
      <w:r>
        <w:t xml:space="preserve">that extracts all reported test statistics and re-computes</w:t>
      </w:r>
      <w:r>
        <w:t xml:space="preserve"> </w:t>
      </w:r>
      <w:r>
        <w:rPr>
          <w:i/>
          <w:iCs/>
        </w:rPr>
        <w:t xml:space="preserve">p</w:t>
      </w:r>
      <w:r>
        <w:t xml:space="preserve">-values, to the same article set.</w:t>
      </w:r>
    </w:p>
    <w:p>
      <w:pPr>
        <w:pStyle w:val="BodyText"/>
      </w:pPr>
      <w:r>
        <w:rPr>
          <w:b/>
          <w:bCs/>
        </w:rPr>
        <w:t xml:space="preserve">Methods.</w:t>
      </w:r>
      <w:r>
        <w:t xml:space="preserve"> </w:t>
      </w:r>
      <w:r>
        <w:t xml:space="preserve">Retrospective observational audit of 350 original research articles. Three trained raters double-coded each article for reporting of test statistics, degrees of freedom, exact</w:t>
      </w:r>
      <w:r>
        <w:t xml:space="preserve"> </w:t>
      </w:r>
      <w:r>
        <w:rPr>
          <w:i/>
          <w:iCs/>
        </w:rPr>
        <w:t xml:space="preserve">p</w:t>
      </w:r>
      <w:r>
        <w:t xml:space="preserve">-values, effect sizes, effect-size confidence intervals, preregistration status, and raw-data availability. Where possible,</w:t>
      </w:r>
      <w:r>
        <w:t xml:space="preserve"> </w:t>
      </w:r>
      <w:r>
        <w:rPr>
          <w:i/>
          <w:iCs/>
        </w:rPr>
        <w:t xml:space="preserve">p</w:t>
      </w:r>
      <w:r>
        <w:t xml:space="preserve">-value consistency was checked with</w:t>
      </w:r>
      <w:r>
        <w:t xml:space="preserve"> </w:t>
      </w:r>
      <w:r>
        <w:rPr>
          <w:i/>
          <w:iCs/>
        </w:rPr>
        <w:t xml:space="preserve">statcheck</w:t>
      </w:r>
      <w:r>
        <w:t xml:space="preserve">. As an exploratory, non-pre-registered addition we applied the newly developed</w:t>
      </w:r>
      <w:r>
        <w:t xml:space="preserve"> </w:t>
      </w:r>
      <w:r>
        <w:rPr>
          <w:i/>
          <w:iCs/>
        </w:rPr>
        <w:t xml:space="preserve">Metacheck</w:t>
      </w:r>
      <w:r>
        <w:t xml:space="preserve"> </w:t>
      </w:r>
      <w:r>
        <w:t xml:space="preserve">tool to extract and reproduce every reported</w:t>
      </w:r>
      <w:r>
        <w:t xml:space="preserve"> </w:t>
      </w:r>
      <w:r>
        <w:rPr>
          <w:i/>
          <w:iCs/>
        </w:rPr>
        <w:t xml:space="preserve">t</w:t>
      </w:r>
      <w:r>
        <w:t xml:space="preserve">- and</w:t>
      </w:r>
      <w:r>
        <w:t xml:space="preserve"> </w:t>
      </w:r>
      <w:r>
        <w:rPr>
          <w:i/>
          <w:iCs/>
        </w:rPr>
        <w:t xml:space="preserve">F</w:t>
      </w:r>
      <w:r>
        <w:t xml:space="preserve">-test.</w:t>
      </w:r>
    </w:p>
    <w:p>
      <w:pPr>
        <w:pStyle w:val="BodyText"/>
      </w:pPr>
      <w:r>
        <w:rPr>
          <w:b/>
          <w:bCs/>
        </w:rPr>
        <w:t xml:space="preserve">Results.</w:t>
      </w:r>
      <w:r>
        <w:t xml:space="preserve"> </w:t>
      </w:r>
      <w:r>
        <w:t xml:space="preserve">Whilst 94.6% of studies (95% CI 91.7–96.5%) reported a</w:t>
      </w:r>
      <w:r>
        <w:t xml:space="preserve"> </w:t>
      </w:r>
      <w:r>
        <w:rPr>
          <w:i/>
          <w:iCs/>
        </w:rPr>
        <w:t xml:space="preserve">p</w:t>
      </w:r>
      <w:r>
        <w:t xml:space="preserve">-value for the main effect of interest, only 39.7% (34.7–44.9%) reported the corresponding test statistic and 28.9% (24.4–33.8%) reported the degrees of freedom needed to check it. An effect-size estimate was reported by 53.7% (48.5–58.9%) of studies, but only 7.7% (5.4–11.0%) of studies reported a confidence interval around an effect size. Only 1.7% (0.8–3.7%) studies provided a working link to publicly available raw data. Reproducibility of the primary</w:t>
      </w:r>
      <w:r>
        <w:t xml:space="preserve"> </w:t>
      </w:r>
      <w:r>
        <w:rPr>
          <w:i/>
          <w:iCs/>
        </w:rPr>
        <w:t xml:space="preserve">p</w:t>
      </w:r>
      <w:r>
        <w:t xml:space="preserve">-value could be assessed in 132 of the 350 studies (37.7%); among the 119 checkable</w:t>
      </w:r>
      <w:r>
        <w:t xml:space="preserve"> </w:t>
      </w:r>
      <w:r>
        <w:rPr>
          <w:i/>
          <w:iCs/>
        </w:rPr>
        <w:t xml:space="preserve">F</w:t>
      </w:r>
      <w:r>
        <w:t xml:space="preserve">-tests, 79 (66.4%) reproduced exactly, 31 (26.1%) were compatible with the reported statistical decision, 7 (5.9%) were incorrectly rounded, and 2 (1.7%) were incompatible (decision errors). All 12 checkable</w:t>
      </w:r>
      <w:r>
        <w:t xml:space="preserve"> </w:t>
      </w:r>
      <w:r>
        <w:rPr>
          <w:i/>
          <w:iCs/>
        </w:rPr>
        <w:t xml:space="preserve">t</w:t>
      </w:r>
      <w:r>
        <w:t xml:space="preserve">-tests were compatible with the reported decision. The exploratory</w:t>
      </w:r>
      <w:r>
        <w:t xml:space="preserve"> </w:t>
      </w:r>
      <w:r>
        <w:rPr>
          <w:i/>
          <w:iCs/>
        </w:rPr>
        <w:t xml:space="preserve">Metacheck</w:t>
      </w:r>
      <w:r>
        <w:t xml:space="preserve"> </w:t>
      </w:r>
      <w:r>
        <w:t xml:space="preserve">sweep across 348 articles corroborated these patterns.</w:t>
      </w:r>
    </w:p>
    <w:p>
      <w:pPr>
        <w:pStyle w:val="BodyText"/>
      </w:pPr>
      <w:r>
        <w:rPr>
          <w:b/>
          <w:bCs/>
        </w:rPr>
        <w:t xml:space="preserve">Conclusions.</w:t>
      </w:r>
      <w:r>
        <w:t xml:space="preserve"> </w:t>
      </w:r>
      <w:r>
        <w:t xml:space="preserve">Statistical reporting in applied SES is markedly incomplete and data sharing is essentially absent, despite long-standing calls for both. Where reporting is sufficient,</w:t>
      </w:r>
      <w:r>
        <w:t xml:space="preserve"> </w:t>
      </w:r>
      <w:r>
        <w:rPr>
          <w:i/>
          <w:iCs/>
        </w:rPr>
        <w:t xml:space="preserve">p</w:t>
      </w:r>
      <w:r>
        <w:t xml:space="preserve">-values are largely reproducible, but since most articles fail to meet reporting standards, reproducibility remains unknown. Coordinated change by journals, reviewers, funders, and authors is required to improve data sharing and reporting practices. Automated checks (as offered by</w:t>
      </w:r>
      <w:r>
        <w:t xml:space="preserve"> </w:t>
      </w:r>
      <w:r>
        <w:rPr>
          <w:i/>
          <w:iCs/>
        </w:rPr>
        <w:t xml:space="preserve">Metacheck</w:t>
      </w:r>
      <w:r>
        <w:t xml:space="preserve">) might facilitate the uptake of reporting standards.</w:t>
      </w:r>
    </w:p>
    <w:p>
      <w:pPr>
        <w:pStyle w:val="BodyText"/>
      </w:pPr>
      <w:r>
        <w:rPr>
          <w:b/>
          <w:bCs/>
        </w:rPr>
        <w:t xml:space="preserve">Keywords:</w:t>
      </w:r>
      <w:r>
        <w:t xml:space="preserve"> </w:t>
      </w:r>
      <w:r>
        <w:t xml:space="preserve">metascience; reproducibility; open data; statcheck; Metacheck; null hypothesis significance testing; sport and exercise science.</w:t>
      </w:r>
    </w:p>
    <w:bookmarkEnd w:id="9"/>
    <w:bookmarkStart w:id="10" w:name="affiliation"/>
    <w:p>
      <w:pPr>
        <w:pStyle w:val="Heading4"/>
      </w:pPr>
      <w:r>
        <w:t xml:space="preserve">Affiliation</w:t>
      </w:r>
    </w:p>
    <w:p>
      <w:pPr>
        <w:pStyle w:val="FirstParagraph"/>
      </w:pPr>
      <w:r>
        <w:rPr>
          <w:vertAlign w:val="superscript"/>
        </w:rPr>
        <w:t xml:space="preserve">1</w:t>
      </w:r>
      <w:r>
        <w:t xml:space="preserve"> </w:t>
      </w:r>
      <w:r>
        <w:t xml:space="preserve">School of Biological, Health and Sports Sciences, Technological University Dublin, Tallaght, Dublin, Ireland</w:t>
      </w:r>
    </w:p>
    <w:p>
      <w:pPr>
        <w:pStyle w:val="BodyText"/>
      </w:pPr>
      <w:r>
        <w:rPr>
          <w:vertAlign w:val="superscript"/>
        </w:rPr>
        <w:t xml:space="preserve">2</w:t>
      </w:r>
      <w:r>
        <w:t xml:space="preserve"> </w:t>
      </w:r>
      <w:r>
        <w:t xml:space="preserve">Department of Sport Exercise and Nutrition, Atlantic Technological University, Galway, Ireland</w:t>
      </w:r>
    </w:p>
    <w:p>
      <w:pPr>
        <w:pStyle w:val="BodyText"/>
      </w:pPr>
      <w:r>
        <w:rPr>
          <w:vertAlign w:val="superscript"/>
        </w:rPr>
        <w:t xml:space="preserve">3</w:t>
      </w:r>
      <w:r>
        <w:t xml:space="preserve"> </w:t>
      </w:r>
      <w:r>
        <w:t xml:space="preserve">Human-Technology Interaction Group, Eindhoven University of Technology, Eindhoven, The Netherlands</w:t>
      </w:r>
    </w:p>
    <w:bookmarkEnd w:id="10"/>
    <w:bookmarkStart w:id="11" w:name="orcids"/>
    <w:p>
      <w:pPr>
        <w:pStyle w:val="Heading4"/>
      </w:pPr>
      <w:r>
        <w:t xml:space="preserve">ORCIDs</w:t>
      </w:r>
    </w:p>
    <w:p>
      <w:pPr>
        <w:pStyle w:val="FirstParagraph"/>
      </w:pPr>
      <w:r>
        <w:t xml:space="preserve">Joe Warne – 0000-0002-4359-8132</w:t>
      </w:r>
    </w:p>
    <w:p>
      <w:pPr>
        <w:pStyle w:val="BodyText"/>
      </w:pPr>
      <w:r>
        <w:t xml:space="preserve">Jennifer Murphy – 0000-0001-8624-3828</w:t>
      </w:r>
    </w:p>
    <w:p>
      <w:pPr>
        <w:pStyle w:val="BodyText"/>
      </w:pPr>
      <w:r>
        <w:t xml:space="preserve">Daniël Lakens – 0000-0002-0247-239X</w:t>
      </w:r>
    </w:p>
    <w:p>
      <w:pPr>
        <w:pStyle w:val="BodyText"/>
      </w:pPr>
      <w:r>
        <w:t xml:space="preserve">Cristian Mesquida – 0000-0002-1542-8355</w:t>
      </w:r>
    </w:p>
    <w:bookmarkEnd w:id="11"/>
    <w:bookmarkStart w:id="12" w:name="correspondence"/>
    <w:p>
      <w:pPr>
        <w:pStyle w:val="Heading4"/>
      </w:pPr>
      <w:r>
        <w:t xml:space="preserve">Correspondence</w:t>
      </w:r>
    </w:p>
    <w:p>
      <w:pPr>
        <w:pStyle w:val="FirstParagraph"/>
      </w:pPr>
      <w:r>
        <w:t xml:space="preserve">Joe Warne - joe.warne@tudublin.ie, www.ssreplicationcentre.com</w:t>
      </w:r>
    </w:p>
    <w:p>
      <w:pPr>
        <w:pStyle w:val="BodyText"/>
      </w:pPr>
      <w:r>
        <w:rPr>
          <w:b/>
          <w:bCs/>
        </w:rPr>
        <w:t xml:space="preserve">Data availability</w:t>
      </w:r>
    </w:p>
    <w:p>
      <w:pPr>
        <w:pStyle w:val="BodyText"/>
      </w:pPr>
      <w:r>
        <w:t xml:space="preserve">The preregistration, data and analysis scripts related to this study are publicly available on the Open Science Framework and can be found at https://doi.org/10.5281/zenodo.22946405.</w:t>
      </w:r>
    </w:p>
    <w:p>
      <w:pPr>
        <w:pStyle w:val="BodyText"/>
      </w:pPr>
      <w:r>
        <w:rPr>
          <w:b/>
          <w:bCs/>
        </w:rPr>
        <w:t xml:space="preserve">Disclosure statement</w:t>
      </w:r>
    </w:p>
    <w:p>
      <w:pPr>
        <w:pStyle w:val="BodyText"/>
      </w:pPr>
      <w:r>
        <w:t xml:space="preserve">Cristian Mesquida, Jennifer Murphy, Joe Warne and Daniël Lakens declare that they have no conflict of interest.</w:t>
      </w:r>
    </w:p>
    <w:p>
      <w:pPr>
        <w:pStyle w:val="BodyText"/>
      </w:pPr>
      <w:r>
        <w:rPr>
          <w:b/>
          <w:bCs/>
        </w:rPr>
        <w:t xml:space="preserve">Funding</w:t>
      </w:r>
    </w:p>
    <w:p>
      <w:pPr>
        <w:pStyle w:val="BodyText"/>
      </w:pPr>
      <w:r>
        <w:t xml:space="preserve">Cristian Mesquida was supported by the Ammodo Science Award 2023 for Social Sciences. Daniël Lakens was supported by the Netherlands organization for Scientific Research (NWO Vici grant VI.C.241.013).</w:t>
      </w:r>
    </w:p>
    <w:p>
      <w:pPr>
        <w:pStyle w:val="BodyText"/>
      </w:pPr>
      <w:r>
        <w:rPr>
          <w:b/>
          <w:bCs/>
        </w:rPr>
        <w:t xml:space="preserve">Author contributions (CRediT)</w:t>
      </w:r>
    </w:p>
    <w:p>
      <w:pPr>
        <w:pStyle w:val="BodyText"/>
      </w:pPr>
      <w:r>
        <w:rPr>
          <w:b/>
          <w:bCs/>
        </w:rPr>
        <w:t xml:space="preserve">Joe Warne:</w:t>
      </w:r>
      <w:r>
        <w:t xml:space="preserve"> </w:t>
      </w:r>
      <w:r>
        <w:t xml:space="preserve">Conceptualization, Methodology, Investigation (data coding), Formal analysis, Writing – original draft, Writing – review &amp; editing.</w:t>
      </w:r>
      <w:r>
        <w:t xml:space="preserve"> </w:t>
      </w:r>
      <w:r>
        <w:rPr>
          <w:b/>
          <w:bCs/>
        </w:rPr>
        <w:t xml:space="preserve">Jennifer Murphy:</w:t>
      </w:r>
      <w:r>
        <w:t xml:space="preserve"> </w:t>
      </w:r>
      <w:r>
        <w:t xml:space="preserve">Methodology, Investigation (data coding), Writing – review &amp; editing.</w:t>
      </w:r>
      <w:r>
        <w:t xml:space="preserve"> </w:t>
      </w:r>
      <w:r>
        <w:rPr>
          <w:b/>
          <w:bCs/>
        </w:rPr>
        <w:t xml:space="preserve">Daniël Lakens:</w:t>
      </w:r>
      <w:r>
        <w:t xml:space="preserve"> </w:t>
      </w:r>
      <w:r>
        <w:t xml:space="preserve">Conceptualization, Methodology, Software (</w:t>
      </w:r>
      <w:r>
        <w:rPr>
          <w:i/>
          <w:iCs/>
        </w:rPr>
        <w:t xml:space="preserve">Metacheck</w:t>
      </w:r>
      <w:r>
        <w:t xml:space="preserve">), Supervision, Writing – review &amp; editing.</w:t>
      </w:r>
      <w:r>
        <w:t xml:space="preserve"> </w:t>
      </w:r>
      <w:r>
        <w:rPr>
          <w:b/>
          <w:bCs/>
        </w:rPr>
        <w:t xml:space="preserve">Cristian Mesquida:</w:t>
      </w:r>
      <w:r>
        <w:t xml:space="preserve"> </w:t>
      </w:r>
      <w:r>
        <w:t xml:space="preserve">Conceptualization, Methodology, Investigation (data coding), Formal analysis, Data curation, Writing – original draft, and review &amp; editing.</w:t>
      </w:r>
    </w:p>
    <w:p>
      <w:r>
        <w:br w:type="page"/>
      </w:r>
    </w:p>
    <w:bookmarkEnd w:id="12"/>
    <w:bookmarkStart w:id="14" w:name="introduction"/>
    <w:p>
      <w:pPr>
        <w:pStyle w:val="Heading1"/>
      </w:pPr>
      <w:r>
        <w:t xml:space="preserve">Introduction</w:t>
      </w:r>
    </w:p>
    <w:p>
      <w:pPr>
        <w:pStyle w:val="FirstParagraph"/>
      </w:pPr>
      <w:r>
        <w:t xml:space="preserve">Most findings in the field of sport and exercise science (SES) are based on the results of null hypothesis significance testing (NHST). It is therefore important that NHST is performed correctly and that statistical results are reported accurately and completely. Long-standing critiques of</w:t>
      </w:r>
      <w:r>
        <w:t xml:space="preserve"> </w:t>
      </w:r>
      <w:r>
        <w:rPr>
          <w:i/>
          <w:iCs/>
        </w:rPr>
        <w:t xml:space="preserve">p</w:t>
      </w:r>
      <w:r>
        <w:t xml:space="preserve">-value-only inference</w:t>
      </w:r>
      <w:r>
        <w:t xml:space="preserve"> </w:t>
      </w:r>
      <w:r>
        <w:t xml:space="preserve">(Amrhein et al., 2019; Halsey, 2019; Wasserstein et al., 2019; Wasserstein and Lazar, 2016)</w:t>
      </w:r>
      <w:r>
        <w:t xml:space="preserve"> </w:t>
      </w:r>
      <w:r>
        <w:t xml:space="preserve">and well-documented misinterpretations of</w:t>
      </w:r>
      <w:r>
        <w:t xml:space="preserve"> </w:t>
      </w:r>
      <w:r>
        <w:rPr>
          <w:i/>
          <w:iCs/>
        </w:rPr>
        <w:t xml:space="preserve">p</w:t>
      </w:r>
      <w:r>
        <w:t xml:space="preserve">-values, confidence intervals, and statistical power</w:t>
      </w:r>
      <w:r>
        <w:t xml:space="preserve"> </w:t>
      </w:r>
      <w:r>
        <w:t xml:space="preserve">(Greenland et al., 2016)</w:t>
      </w:r>
      <w:r>
        <w:t xml:space="preserve"> </w:t>
      </w:r>
      <w:r>
        <w:t xml:space="preserve">underscore the need for transparent and complete reporting. There is also evidence from other fields, such as psychology, that some reported</w:t>
      </w:r>
      <w:r>
        <w:t xml:space="preserve"> </w:t>
      </w:r>
      <w:r>
        <w:rPr>
          <w:i/>
          <w:iCs/>
        </w:rPr>
        <w:t xml:space="preserve">p</w:t>
      </w:r>
      <w:r>
        <w:t xml:space="preserve">-values do not match the test statistic and degrees of freedom from which they are derived</w:t>
      </w:r>
      <w:r>
        <w:t xml:space="preserve"> </w:t>
      </w:r>
      <w:r>
        <w:t xml:space="preserve">(Bakker and Wicherts, 2011; Nuijten et al., 2016; Veldkamp et al., 2014)</w:t>
      </w:r>
      <w:r>
        <w:t xml:space="preserve">. For instance,</w:t>
      </w:r>
      <w:r>
        <w:t xml:space="preserve"> </w:t>
      </w:r>
      <w:r>
        <w:t xml:space="preserve">Nuijten et al. (2016)</w:t>
      </w:r>
      <w:r>
        <w:t xml:space="preserve"> </w:t>
      </w:r>
      <w:r>
        <w:t xml:space="preserve">found that about half of screened published psychology articles using NHST contained at least one inconsistent</w:t>
      </w:r>
      <w:r>
        <w:t xml:space="preserve"> </w:t>
      </w:r>
      <w:r>
        <w:rPr>
          <w:i/>
          <w:iCs/>
        </w:rPr>
        <w:t xml:space="preserve">p</w:t>
      </w:r>
      <w:r>
        <w:t xml:space="preserve">-value, a pattern that can now be examined at scale because content mining has made hundreds of thousands of reported statistical results available for automated checking</w:t>
      </w:r>
      <w:r>
        <w:t xml:space="preserve"> </w:t>
      </w:r>
      <w:r>
        <w:t xml:space="preserve">(Hartgerink, 2016)</w:t>
      </w:r>
      <w:r>
        <w:t xml:space="preserve">. This could be sloppy reporting (e.g.,</w:t>
      </w:r>
      <w:r>
        <w:t xml:space="preserve"> </w:t>
      </w:r>
      <w:r>
        <w:rPr>
          <w:i/>
          <w:iCs/>
        </w:rPr>
        <w:t xml:space="preserve">p</w:t>
      </w:r>
      <w:r>
        <w:t xml:space="preserve"> </w:t>
      </w:r>
      <w:r>
        <w:t xml:space="preserve">&lt; 0.03 when</w:t>
      </w:r>
      <w:r>
        <w:t xml:space="preserve"> </w:t>
      </w:r>
      <w:r>
        <w:rPr>
          <w:i/>
          <w:iCs/>
        </w:rPr>
        <w:t xml:space="preserve">p</w:t>
      </w:r>
      <w:r>
        <w:t xml:space="preserve"> </w:t>
      </w:r>
      <w:r>
        <w:t xml:space="preserve">= 0.305, or</w:t>
      </w:r>
      <w:r>
        <w:t xml:space="preserve"> </w:t>
      </w:r>
      <w:r>
        <w:rPr>
          <w:i/>
          <w:iCs/>
        </w:rPr>
        <w:t xml:space="preserve">p</w:t>
      </w:r>
      <w:r>
        <w:t xml:space="preserve"> </w:t>
      </w:r>
      <w:r>
        <w:t xml:space="preserve">= .000 when</w:t>
      </w:r>
      <w:r>
        <w:t xml:space="preserve"> </w:t>
      </w:r>
      <w:r>
        <w:rPr>
          <w:i/>
          <w:iCs/>
        </w:rPr>
        <w:t xml:space="preserve">p</w:t>
      </w:r>
      <w:r>
        <w:t xml:space="preserve">-values can never be 0) but may also reflect an inconsistent claim where the reported</w:t>
      </w:r>
      <w:r>
        <w:t xml:space="preserve"> </w:t>
      </w:r>
      <w:r>
        <w:rPr>
          <w:i/>
          <w:iCs/>
        </w:rPr>
        <w:t xml:space="preserve">p</w:t>
      </w:r>
      <w:r>
        <w:t xml:space="preserve">-value is significant (</w:t>
      </w:r>
      <w:r>
        <w:rPr>
          <w:i/>
          <w:iCs/>
        </w:rPr>
        <w:t xml:space="preserve">p</w:t>
      </w:r>
      <w:r>
        <w:t xml:space="preserve"> </w:t>
      </w:r>
      <w:r>
        <w:t xml:space="preserve">&lt; .05) and the computed</w:t>
      </w:r>
      <w:r>
        <w:t xml:space="preserve"> </w:t>
      </w:r>
      <w:r>
        <w:rPr>
          <w:i/>
          <w:iCs/>
        </w:rPr>
        <w:t xml:space="preserve">p</w:t>
      </w:r>
      <w:r>
        <w:t xml:space="preserve">-value was not (</w:t>
      </w:r>
      <w:r>
        <w:rPr>
          <w:i/>
          <w:iCs/>
        </w:rPr>
        <w:t xml:space="preserve">p</w:t>
      </w:r>
      <w:r>
        <w:t xml:space="preserve"> </w:t>
      </w:r>
      <w:r>
        <w:t xml:space="preserve">&gt; 0.05), or vice-versa. Issues such as these may suggest human error, but can also indicate opportunistic misreporting of statistical results. It is impossible to evaluate the consistency of</w:t>
      </w:r>
      <w:r>
        <w:t xml:space="preserve"> </w:t>
      </w:r>
      <w:r>
        <w:rPr>
          <w:i/>
          <w:iCs/>
        </w:rPr>
        <w:t xml:space="preserve">p</w:t>
      </w:r>
      <w:r>
        <w:t xml:space="preserve">-values in the absence of either raw data, or fully reported test statistics and degrees of freedom. When statistical tests are reported completely, data can be checked in the form of</w:t>
      </w:r>
      <w:r>
        <w:t xml:space="preserve"> </w:t>
      </w:r>
      <w:r>
        <w:rPr>
          <w:i/>
          <w:iCs/>
        </w:rPr>
        <w:t xml:space="preserve">p</w:t>
      </w:r>
      <w:r>
        <w:t xml:space="preserve">-value reproducibility checks, which increase the transparency, validity and reusability of published research. Therefore, the full reporting of parameters associated with statistical tests is good practice, and should be adopted by researchers and enforced by journals.</w:t>
      </w:r>
    </w:p>
    <w:p>
      <w:pPr>
        <w:pStyle w:val="BodyText"/>
      </w:pPr>
      <w:r>
        <w:t xml:space="preserve">In addition to reporting critical test statistics for NHST, there are increased calls for the improved reporting of associated effect sizes and their uncertainty intervals</w:t>
      </w:r>
      <w:r>
        <w:t xml:space="preserve"> </w:t>
      </w:r>
      <w:r>
        <w:t xml:space="preserve">(Cumming, 2014; Lakens, 2013)</w:t>
      </w:r>
      <w:r>
        <w:t xml:space="preserve">. In sport and exercise science specifically, concerns have been raised about both the routine omission of confidence intervals around effects</w:t>
      </w:r>
      <w:r>
        <w:t xml:space="preserve"> </w:t>
      </w:r>
      <w:r>
        <w:t xml:space="preserve">(Knudson, 2017)</w:t>
      </w:r>
      <w:r>
        <w:t xml:space="preserve"> </w:t>
      </w:r>
      <w:r>
        <w:t xml:space="preserve">and the use of poorly justified default effect-size benchmarks</w:t>
      </w:r>
      <w:r>
        <w:t xml:space="preserve"> </w:t>
      </w:r>
      <w:r>
        <w:t xml:space="preserve">(Caldwell and Vigotsky, 2020; Sainani, 2018)</w:t>
      </w:r>
      <w:r>
        <w:t xml:space="preserve">. In addition to the value of the effect size for the practical interpretation of claims, effect sizes also facilitate meta-analyses and pre-study power calculations. However, the common reporting of only point estimates for effect sizes does not allow researchers to assess the uncertainty around these estimates, which requires confidence intervals. A further benefit of reporting confidence intervals around effect sizes is that they facilitate principled evaluation of replication results, not by assessing overlap between confidence intervals, but by allowing researchers to determine which effect sizes are compatible with the data and which can be rejected</w:t>
      </w:r>
      <w:r>
        <w:t xml:space="preserve"> </w:t>
      </w:r>
      <w:r>
        <w:t xml:space="preserve">(Anderson and Maxwell, 2016; Lakens, 2022)</w:t>
      </w:r>
      <w:r>
        <w:t xml:space="preserve">. In particular, confidence intervals can be used to assess whether effect sizes that researchers consider theoretically or practically meaningful can be ruled out, for example through equivalence testing, even when such tests were not originally conducted by the authors of an article</w:t>
      </w:r>
      <w:r>
        <w:t xml:space="preserve"> </w:t>
      </w:r>
      <w:r>
        <w:t xml:space="preserve">(Lakens, 2017)</w:t>
      </w:r>
      <w:r>
        <w:t xml:space="preserve">. Therefore, beyond test statistics, degrees of freedom and absolute</w:t>
      </w:r>
      <w:r>
        <w:t xml:space="preserve"> </w:t>
      </w:r>
      <w:r>
        <w:rPr>
          <w:i/>
          <w:iCs/>
        </w:rPr>
        <w:t xml:space="preserve">p</w:t>
      </w:r>
      <w:r>
        <w:t xml:space="preserve">-values, studies should also report effect sizes and their confidence intervals. Such recommendations are common in other fields, and are for instance part of the Journal Article Reporting Standards of the American Psychological Association</w:t>
      </w:r>
      <w:r>
        <w:t xml:space="preserve"> </w:t>
      </w:r>
      <w:r>
        <w:t xml:space="preserve">(Appelbaum et al., 2018)</w:t>
      </w:r>
      <w:r>
        <w:t xml:space="preserve">.</w:t>
      </w:r>
    </w:p>
    <w:p>
      <w:pPr>
        <w:pStyle w:val="BodyText"/>
      </w:pPr>
      <w:r>
        <w:t xml:space="preserve">Comprehensive and accurate reporting of all statistical information should be common practice in the scientific literature. However, this issue would be less problematic if researchers routinely shared raw data along with their methods, ideally in line with the FAIR (Findable, Accessible, Interoperable, Reusable) data principles</w:t>
      </w:r>
      <w:r>
        <w:t xml:space="preserve"> </w:t>
      </w:r>
      <w:r>
        <w:t xml:space="preserve">(</w:t>
      </w:r>
      <w:r>
        <w:t xml:space="preserve">Wilkinson et al.</w:t>
      </w:r>
      <w:r>
        <w:t xml:space="preserve">, 2016)</w:t>
      </w:r>
      <w:r>
        <w:t xml:space="preserve">. Providing raw data improves the reproducibility of reported claims and facilitates data re-use across a range of different contexts, including future meta-analyses, meta-syntheses (e.g.,</w:t>
      </w:r>
      <w:r>
        <w:t xml:space="preserve"> </w:t>
      </w:r>
      <w:r>
        <w:rPr>
          <w:i/>
          <w:iCs/>
        </w:rPr>
        <w:t xml:space="preserve">z</w:t>
      </w:r>
      <w:r>
        <w:t xml:space="preserve">-curve or individual data synthesis), model validation, and replication studies. Despite these benefits, data sharing remains rare in SES. For example,</w:t>
      </w:r>
      <w:r>
        <w:t xml:space="preserve"> </w:t>
      </w:r>
      <w:r>
        <w:t xml:space="preserve">Twomey et al. (2021)</w:t>
      </w:r>
      <w:r>
        <w:t xml:space="preserve"> </w:t>
      </w:r>
      <w:r>
        <w:t xml:space="preserve">found that only 0.67% of 300 articles [95% CI: 0.08 to 2.39%] reported a statement for data sharing or open data. Similarly,</w:t>
      </w:r>
      <w:r>
        <w:t xml:space="preserve"> </w:t>
      </w:r>
      <w:r>
        <w:t xml:space="preserve">Borg et al. (2020)</w:t>
      </w:r>
      <w:r>
        <w:t xml:space="preserve"> </w:t>
      </w:r>
      <w:r>
        <w:t xml:space="preserve">reported that only 4.3% of 299 articles [95% CI: 2.3 to 7.3%] from quartile 1 SES journals shared their data and/or code. A case study in the Journal of Sports Sciences also reported that 0% of 174 articles shared their data</w:t>
      </w:r>
      <w:r>
        <w:t xml:space="preserve"> </w:t>
      </w:r>
      <w:r>
        <w:t xml:space="preserve">(Mesquida et al., 2023)</w:t>
      </w:r>
      <w:r>
        <w:t xml:space="preserve">. Finally, colleagues in Exercise Medicine recently reported very poor access to previously collected data to validate a model for predicting gestational diabetes, even after directly contacting authors who had data-sharing statements in their publications</w:t>
      </w:r>
      <w:r>
        <w:t xml:space="preserve"> </w:t>
      </w:r>
      <w:r>
        <w:t xml:space="preserve">(Germaine et al., 2024)</w:t>
      </w:r>
      <w:r>
        <w:t xml:space="preserve">. Therefore, poor data sharing presents a significant barrier to replication and reproducibility checks, in addition to limiting the validation of models of the future.</w:t>
      </w:r>
    </w:p>
    <w:p>
      <w:pPr>
        <w:pStyle w:val="BodyText"/>
      </w:pPr>
      <w:r>
        <w:t xml:space="preserve">Without access to statistical data, combined with the absence of raw data or analysis code, it is impossible to comprehensively identify errors, or re-use data, thereby hindering cumulative science</w:t>
      </w:r>
      <w:r>
        <w:t xml:space="preserve"> </w:t>
      </w:r>
      <w:r>
        <w:t xml:space="preserve">(Curran, 2009; Errington et al., 2017; Nuijten et al., 2016)</w:t>
      </w:r>
      <w:r>
        <w:t xml:space="preserve">. Contrarily, when statistical data are fully reported, researchers can verify the reported results, which strengthens their credibility and allows researchers to re-use such data to better inform future research. The aim of the current study is to 1) describe the reporting practices of NHST statistical results for the main effect of interest in 10 quartile 1 applied SES journals, and 2) assess the reproducibility of</w:t>
      </w:r>
      <w:r>
        <w:t xml:space="preserve"> </w:t>
      </w:r>
      <w:r>
        <w:rPr>
          <w:i/>
          <w:iCs/>
        </w:rPr>
        <w:t xml:space="preserve">p</w:t>
      </w:r>
      <w:r>
        <w:t xml:space="preserve">-values in the cases where sufficient statistical information is presented. As the lack of a complete reporting of statistical results can be compensated by making raw data publicly available, we also aim to 3) report the proportion of studies that make raw data publicly available on a data repository. Our study is intended to be an exploratory, descriptive report and therefore no hypotheses will be tested.</w:t>
      </w:r>
    </w:p>
    <w:p>
      <w:pPr>
        <w:pStyle w:val="BodyText"/>
      </w:pPr>
      <w:r>
        <w:t xml:space="preserve">Although the preregistered protocol specified coding only the primary statistical result from each study, this decision reflected feasibility constraints of manually coding the data. After manuscript completion, members of the team developed</w:t>
      </w:r>
      <w:r>
        <w:t xml:space="preserve"> </w:t>
      </w:r>
      <w:r>
        <w:rPr>
          <w:i/>
          <w:iCs/>
        </w:rPr>
        <w:t xml:space="preserve">Metacheck (</w:t>
      </w:r>
      <w:hyperlink r:id="rId13">
        <w:r>
          <w:rPr>
            <w:rStyle w:val="Hyperlink"/>
          </w:rPr>
          <w:t xml:space="preserve">https://www.scienceverse.org/metacheck/</w:t>
        </w:r>
      </w:hyperlink>
      <w:r>
        <w:t xml:space="preserve">), an automated tool capable of extracting all reported statistical tests within an article, also enabling running the</w:t>
      </w:r>
      <w:r>
        <w:t xml:space="preserve"> </w:t>
      </w:r>
      <w:r>
        <w:rPr>
          <w:i/>
          <w:iCs/>
        </w:rPr>
        <w:t xml:space="preserve">statcheck</w:t>
      </w:r>
      <w:r>
        <w:t xml:space="preserve"> </w:t>
      </w:r>
      <w:r>
        <w:t xml:space="preserve">module on these mass results. This advance enabled a more comprehensive assessment of reporting practices across the same set of studies (</w:t>
      </w:r>
      <w:r>
        <w:rPr>
          <w:i/>
          <w:iCs/>
        </w:rPr>
        <w:t xml:space="preserve">N</w:t>
      </w:r>
      <w:r>
        <w:t xml:space="preserve"> </w:t>
      </w:r>
      <w:r>
        <w:t xml:space="preserve">= 350), without changing the study sample, inclusion criteria, or core research questions and we made the decision to retrospectively add the analysis here. The expanded analysis was motivated by improved measurement coverage rather than the observed results, and reduces potential bias associated with focusing on a single result per study. In line with transparent research practices, this deviation from the preregistered plan is explicitly documented and reported alongside the preregistered analysis.</w:t>
      </w:r>
    </w:p>
    <w:bookmarkEnd w:id="14"/>
    <w:bookmarkStart w:id="17" w:name="methods"/>
    <w:p>
      <w:pPr>
        <w:pStyle w:val="Heading1"/>
      </w:pPr>
      <w:r>
        <w:t xml:space="preserve">Methods</w:t>
      </w:r>
    </w:p>
    <w:p>
      <w:pPr>
        <w:pStyle w:val="FirstParagraph"/>
      </w:pPr>
      <w:r>
        <w:t xml:space="preserve">This is a retrospective observational study. The preregistration of this study can be found at https://osf.io/3juyq/.</w:t>
      </w:r>
    </w:p>
    <w:p>
      <w:pPr>
        <w:pStyle w:val="BodyText"/>
      </w:pPr>
      <w:r>
        <w:rPr>
          <w:b/>
          <w:bCs/>
        </w:rPr>
        <w:t xml:space="preserve">Study sample size</w:t>
      </w:r>
    </w:p>
    <w:p>
      <w:pPr>
        <w:pStyle w:val="BodyText"/>
      </w:pPr>
      <w:r>
        <w:t xml:space="preserve">A sample of 350 studies was used for the purpose of this study. As stated in the preregistration, this sample size was based on a precision analysis conducted for a previous study to find an expected proportion of 30% of studies reporting an a priori power analysis (</w:t>
      </w:r>
      <w:hyperlink r:id="rId15">
        <w:r>
          <w:rPr>
            <w:rStyle w:val="Hyperlink"/>
          </w:rPr>
          <w:t xml:space="preserve">https://osf.io/mqbr2/</w:t>
        </w:r>
      </w:hyperlink>
      <w:r>
        <w:t xml:space="preserve">). To find a proportion of 30% with a margin of error of 5%, the precision analysis returned a sample of 323 studies, which was rounded up to 350 studies. These 350 studies were used to conduct the current report.</w:t>
      </w:r>
    </w:p>
    <w:p>
      <w:pPr>
        <w:pStyle w:val="BodyText"/>
      </w:pPr>
      <w:r>
        <w:rPr>
          <w:b/>
          <w:bCs/>
        </w:rPr>
        <w:t xml:space="preserve">Journal and study selection protocol</w:t>
      </w:r>
    </w:p>
    <w:p>
      <w:pPr>
        <w:pStyle w:val="BodyText"/>
      </w:pPr>
      <w:r>
        <w:t xml:space="preserve">The 350 studies were sampled from 10 journals ranked in quartile 1 according to www.scimagojr.com (as of 13th September, 2022). The study selection protocol was based on the</w:t>
      </w:r>
      <w:r>
        <w:t xml:space="preserve"> </w:t>
      </w:r>
      <w:r>
        <w:rPr>
          <w:i/>
          <w:iCs/>
        </w:rPr>
        <w:t xml:space="preserve">Selection Protocol for Replication in Sports and Exercise Science</w:t>
      </w:r>
      <w:r>
        <w:rPr>
          <w:i/>
          <w:iCs/>
        </w:rPr>
        <w:t xml:space="preserve"> </w:t>
      </w:r>
      <w:r>
        <w:rPr>
          <w:i/>
          <w:iCs/>
        </w:rPr>
        <w:t xml:space="preserve">(Murphy et al., 2023)</w:t>
      </w:r>
      <w:r>
        <w:t xml:space="preserve">. Only applied sport and exercise science studies in the sub-disciplines of physiology, sports performance, physical activity, injury prevention and psychology were considered. By applied sport and exercise science studies we refer to the study of changes in human performance in response to physical activity, exercise, and sport. Thus, we excluded reviews of any type (e.g., systematic, narrative, scoping and educational), meta-analysis, consensus statements, opinion pieces or commentaries, editorials, case studies, conference proceedings, study protocols, perspectives, and methodological reports. Moreover, only confirmatory studies were considered. By confirmatory we refer to any study that tests a hypothesis with an experimental or quasi-experimental design. A quasi-experimental design was defined as an empirical study used to estimate the causal impact of an independent variable on target population without randomization. Furthermore, only studies which contained hypothesis tests using</w:t>
      </w:r>
      <w:r>
        <w:t xml:space="preserve"> </w:t>
      </w:r>
      <w:r>
        <w:rPr>
          <w:i/>
          <w:iCs/>
        </w:rPr>
        <w:t xml:space="preserve">t</w:t>
      </w:r>
      <w:r>
        <w:t xml:space="preserve">-test and</w:t>
      </w:r>
      <w:r>
        <w:t xml:space="preserve"> </w:t>
      </w:r>
      <w:r>
        <w:rPr>
          <w:i/>
          <w:iCs/>
        </w:rPr>
        <w:t xml:space="preserve">F</w:t>
      </w:r>
      <w:r>
        <w:t xml:space="preserve">-tests were included. For</w:t>
      </w:r>
      <w:r>
        <w:t xml:space="preserve"> </w:t>
      </w:r>
      <w:r>
        <w:rPr>
          <w:i/>
          <w:iCs/>
        </w:rPr>
        <w:t xml:space="preserve">F</w:t>
      </w:r>
      <w:r>
        <w:t xml:space="preserve">-tests, both main effects and interaction effects were considered. Statistical results from</w:t>
      </w:r>
      <w:r>
        <w:t xml:space="preserve"> </w:t>
      </w:r>
      <w:r>
        <w:rPr>
          <w:i/>
          <w:iCs/>
        </w:rPr>
        <w:t xml:space="preserve">post-hoc</w:t>
      </w:r>
      <w:r>
        <w:t xml:space="preserve"> </w:t>
      </w:r>
      <w:r>
        <w:t xml:space="preserve">tests were only considered if the corresponding prediction is stated in the hypothesis, otherwise we report the main effect or interaction only.</w:t>
      </w:r>
    </w:p>
    <w:p>
      <w:pPr>
        <w:pStyle w:val="BodyText"/>
      </w:pPr>
      <w:r>
        <w:t xml:space="preserve">Although we attempted to apply the protocol described in</w:t>
      </w:r>
      <w:r>
        <w:t xml:space="preserve"> </w:t>
      </w:r>
      <w:r>
        <w:t xml:space="preserve">Murphy et al. (2023)</w:t>
      </w:r>
      <w:r>
        <w:t xml:space="preserve"> </w:t>
      </w:r>
      <w:r>
        <w:t xml:space="preserve">to select studies, we deviated on two points from the original protocol. First, while the</w:t>
      </w:r>
      <w:r>
        <w:t xml:space="preserve"> </w:t>
      </w:r>
      <w:r>
        <w:rPr>
          <w:i/>
          <w:iCs/>
        </w:rPr>
        <w:t xml:space="preserve">Selection Protocol for Replication in Sports and Exercise</w:t>
      </w:r>
      <w:r>
        <w:t xml:space="preserve"> </w:t>
      </w:r>
      <w:r>
        <w:t xml:space="preserve">only selected studies that reported a statistically significant main effect, we considered both statistically significant and nonsignificant effects. Second, we also considered interaction effects as opposed to the original selection protocol.</w:t>
      </w:r>
    </w:p>
    <w:p>
      <w:pPr>
        <w:pStyle w:val="BodyText"/>
      </w:pPr>
      <w:r>
        <w:rPr>
          <w:b/>
          <w:bCs/>
        </w:rPr>
        <w:t xml:space="preserve">Interrater reliability and agreement</w:t>
      </w:r>
    </w:p>
    <w:p>
      <w:pPr>
        <w:pStyle w:val="BodyText"/>
      </w:pPr>
      <w:r>
        <w:t xml:space="preserve">Prior to data collection, and in anticipation of difficulties to select the statistical result central to the primary hypothesis, we developed coding strategy over a 4-step process. First, the four authors (CM, JM, DL and JW) developed and discussed the coding form created by CM. Ambiguities in the coding form were discussed, and amendments were made. Second, three raters (CM, JM and JW) independently coded a randomly selected subset of 28 studies from the sample pool of studies (350) as a pilot study. Subsequently, raters’ responses were compared, and any disagreements were used to improve the clarity of coding form. Third, the same three raters (CM, JM and JW) independently coded a second random subset of 19 studies. Interrater agreement was assessed for the categorical variables preregistration (yes/no), availability of a link to an open data respository (yes/no) and whether the data repository link functional (yes/no) by calculating a pooled Fleiss’ Kappa estimate for each coding category across the 47 studies coded in the first two rounds of coding. The mean Fleiss’ kappa across these three categorical responses was 87%, indicating almost perfect agreement. Agreement on the classification of the key statistical result itself (main effect, interaction effect, difference of means, or unclear) was more modest (Fleiss’ kappa 56%), reflecting the difficulty of identifying the focal test in studies with vague hypotheses. The second round of coding was also used to discuss disagreements. The remaining 303 studies were double coded whereby both JM and JW each coded ~176 studies and CM coded the full sample of studies (350). Interrater agreement for the categorical variables in this final round was assessed using a pooled Cohen’s Kappa estimate, which was 96%, indicating almost perfect agreement. For the extracted statistical result quotes, agreement was quantified as the percentage of studies for which coders identified the identical statistical result. Exact agreement among the three raters was 46.81%, and exact agreement between the two coders was 86.14%. After termination of data collection, any discrepancies in coding decisions were resolved through discussion between the two pairs of raters. DL provided guidance when discrepancies arose and agreement between two raters could not be reached.</w:t>
      </w:r>
    </w:p>
    <w:p>
      <w:pPr>
        <w:pStyle w:val="BodyText"/>
      </w:pPr>
      <w:r>
        <w:rPr>
          <w:b/>
          <w:bCs/>
        </w:rPr>
        <w:t xml:space="preserve">Procedures and data extraction</w:t>
      </w:r>
    </w:p>
    <w:p>
      <w:pPr>
        <w:pStyle w:val="BodyText"/>
      </w:pPr>
      <w:r>
        <w:t xml:space="preserve">Only one</w:t>
      </w:r>
      <w:r>
        <w:t xml:space="preserve"> </w:t>
      </w:r>
      <w:r>
        <w:rPr>
          <w:i/>
          <w:iCs/>
        </w:rPr>
        <w:t xml:space="preserve">p</w:t>
      </w:r>
      <w:r>
        <w:t xml:space="preserve">-value per study was extracted, which corresponded to the main statistical test for the central hypothesis of each study. Because hypothesis statements often include vague language and the primary dependent variable is not always operationalized clearly, we used a coding strategy that consisted of several steps to select the key dependent variable. First, the selected dependent variable would be the one for which researchers controlled both type I and type II error rates. Specifically, in addition to controlling for type I error, researchers conducted an a priori power analysis to control for type II error. Thus, the key dependent variable should be listed in both the a priori power analysis and hypothesis statements. However, on some occasions the dependent variable stated in the a priori power analysis would not match the dependent variable stated in the hypothesis. In these cases, we would select the dependent variable stated in the hypothesis, if clearly identifiable. Often, the statistical result central to the hypothesis tested was difficult to identify due to the lack of a priori power analysis and vagueness of the hypothesis tested. This included hypothesis statements that predicted the effect of one or several interventions on more than one dependent variable or a dependent variable that was measured in multiple ways. In those cases, we selected a dependent variable linked to the central hypothesis test and listed in: 1) the sentence describing the aim of the study; 2) the abstract; 3) title; 4) or the results, in this order of priority. We selected the dependent variable that best matched the language the authors use to imply the focus of the study, in cases where there were still several dependent variables listed.</w:t>
      </w:r>
    </w:p>
    <w:p>
      <w:pPr>
        <w:pStyle w:val="BodyText"/>
      </w:pPr>
      <w:r>
        <w:t xml:space="preserve">For the present study, we coded the main selected test of interest, the statistical result of interest (i.e.,</w:t>
      </w:r>
      <w:r>
        <w:t xml:space="preserve"> </w:t>
      </w:r>
      <w:r>
        <w:rPr>
          <w:i/>
          <w:iCs/>
        </w:rPr>
        <w:t xml:space="preserve">F</w:t>
      </w:r>
      <w:r>
        <w:t xml:space="preserve">-test or</w:t>
      </w:r>
      <w:r>
        <w:t xml:space="preserve"> </w:t>
      </w:r>
      <w:r>
        <w:rPr>
          <w:i/>
          <w:iCs/>
        </w:rPr>
        <w:t xml:space="preserve">t</w:t>
      </w:r>
      <w:r>
        <w:t xml:space="preserve">-test, degrees of freedom,</w:t>
      </w:r>
      <w:r>
        <w:t xml:space="preserve"> </w:t>
      </w:r>
      <w:r>
        <w:rPr>
          <w:i/>
          <w:iCs/>
        </w:rPr>
        <w:t xml:space="preserve">p</w:t>
      </w:r>
      <w:r>
        <w:t xml:space="preserve">-value, effect size (both standardized and unstandardized) and confidence interval for the effect size of interest). Secondly, we coded if each study has been preregistered, shares raw data, and if that data is accessible using the link provided (see</w:t>
      </w:r>
      <w:r>
        <w:t xml:space="preserve"> </w:t>
      </w:r>
      <w:hyperlink w:anchor="tbl-checklist">
        <w:r>
          <w:rPr>
            <w:rStyle w:val="Hyperlink"/>
          </w:rPr>
          <w:t xml:space="preserve">Table 1</w:t>
        </w:r>
      </w:hyperlink>
      <w:r>
        <w:t xml:space="preserve"> </w:t>
      </w:r>
      <w:r>
        <w:t xml:space="preserve">for coding strategy). Coders manually scanned through papers to determine this information, as well as using</w:t>
      </w:r>
      <w:r>
        <w:t xml:space="preserve"> </w:t>
      </w:r>
      <w:r>
        <w:t xml:space="preserve">“find”</w:t>
      </w:r>
      <w:r>
        <w:t xml:space="preserve"> </w:t>
      </w:r>
      <w:r>
        <w:t xml:space="preserve">functions for terms such as</w:t>
      </w:r>
      <w:r>
        <w:t xml:space="preserve"> </w:t>
      </w:r>
      <w:r>
        <w:t xml:space="preserve">“data, registration”</w:t>
      </w:r>
      <w:r>
        <w:t xml:space="preserve">.</w:t>
      </w:r>
    </w:p>
    <w:tbl>
      <w:tblPr>
        <w:tblStyle w:val="Table"/>
        <w:tblW w:type="pct" w:w="5000"/>
        <w:tblLayout w:type="fixed"/>
        <w:tblLook w:firstRow="0" w:lastRow="0" w:firstColumn="0" w:lastColumn="0" w:noHBand="0" w:noVBand="0" w:val="0000"/>
      </w:tblPr>
      <w:tblGrid>
        <w:gridCol w:w="7920"/>
      </w:tblGrid>
      <w:tr>
        <w:tc>
          <w:tcPr/>
          <w:bookmarkStart w:id="16" w:name="tbl-checklist"/>
          <w:p>
            <w:pPr>
              <w:jc w:val="center"/>
            </w:pPr>
            <w:pPr>
              <w:jc w:val="left"/>
              <w:spacing w:before="200"/>
              <w:pStyle w:val="ImageCaption"/>
            </w:pPr>
            <w:r>
              <w:t xml:space="preserve">Table 1: Coding strategy specific to this study.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5760"/>
            </w:tblGrid>
            <w:tr>
              <w:trPr>
                <w:trHeight w:val="57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Action</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Primary hypothesis quote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Copy-paste the primary (or first listed) hypothesis statement.</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Based on the primary hypothesis, what is the key statistical result?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Select: differences of means; main effect; interaction effect; unclear.</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Statistical result quote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Copy-paste the statistical result corresponding to the effect of interest.</w:t>
                  </w:r>
                </w:p>
              </w:tc>
            </w:tr>
            <w:tr>
              <w:trPr>
                <w:trHeight w:val="103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If the key statistical test is an F-test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Report numerator and denominator degrees of freedom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 Report the F statistic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 Report the p value.</w:t>
                  </w:r>
                </w:p>
              </w:tc>
            </w:tr>
            <w:tr>
              <w:trPr>
                <w:trHeight w:val="103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If the key statistical test is a t-test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Report the degrees of freedom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 Report the t statistic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 Report the p value.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Is the effect size standardised or unstandardised?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Select: standardized; unstandardized; both; not reported.</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Is the confidence interval for the effect size of interest 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Select: yes or no.</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Has the study been preregistered?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Select: yes or no, and indicate whether it is a clinical trial registration.</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Does the study provide a link to a data repository where the raw data are publicly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Select: yes or no.</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If the study provides a link to a data repository, does the link work and are the study data available?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Select: yes or no.</w:t>
                  </w:r>
                </w:p>
              </w:tc>
            </w:tr>
          </w:tbl>
          <w:bookmarkEnd w:id="16"/>
        </w:tc>
      </w:tr>
    </w:tbl>
    <w:p>
      <w:pPr>
        <w:pStyle w:val="BodyText"/>
      </w:pPr>
      <w:r>
        <w:rPr>
          <w:i/>
          <w:iCs/>
        </w:rPr>
        <w:t xml:space="preserve">*Note that this coding strategy deviates slightly from the pre-registration in that we no longer code the key statistical test type (e.g. paired t-test, 1-way ANOVA, etc.) as specified in item 4 of the preregistration. This decision was made because this information did not inform our analysis and we already include the number of</w:t>
      </w:r>
      <w:r>
        <w:t xml:space="preserve"> </w:t>
      </w:r>
      <w:r>
        <w:t xml:space="preserve">t</w:t>
      </w:r>
      <w:r>
        <w:rPr>
          <w:i/>
          <w:iCs/>
        </w:rPr>
        <w:t xml:space="preserve">- and</w:t>
      </w:r>
      <w:r>
        <w:t xml:space="preserve"> </w:t>
      </w:r>
      <w:r>
        <w:t xml:space="preserve">F</w:t>
      </w:r>
      <w:r>
        <w:rPr>
          <w:i/>
          <w:iCs/>
        </w:rPr>
        <w:t xml:space="preserve">-tests.</w:t>
      </w:r>
    </w:p>
    <w:p>
      <w:pPr>
        <w:pStyle w:val="BodyText"/>
      </w:pPr>
      <w:r>
        <w:rPr>
          <w:b/>
          <w:bCs/>
        </w:rPr>
        <w:t xml:space="preserve">Statistical analysis</w:t>
      </w:r>
    </w:p>
    <w:p>
      <w:pPr>
        <w:pStyle w:val="BodyText"/>
      </w:pPr>
      <w:r>
        <w:t xml:space="preserve">All research data and analysis syntax can be found at https://doi.org/10.5281/zenodo.22946405.</w:t>
      </w:r>
    </w:p>
    <w:p>
      <w:pPr>
        <w:pStyle w:val="BodyText"/>
      </w:pPr>
      <w:r>
        <w:t xml:space="preserve">To evaluate the prevalence of reporting errors, the R package</w:t>
      </w:r>
      <w:r>
        <w:t xml:space="preserve"> </w:t>
      </w:r>
      <w:r>
        <w:rPr>
          <w:i/>
          <w:iCs/>
        </w:rPr>
        <w:t xml:space="preserve">statcheck</w:t>
      </w:r>
      <w:r>
        <w:t xml:space="preserve"> </w:t>
      </w:r>
      <w:r>
        <w:t xml:space="preserve">(Nuijten and Polanin, 2020)</w:t>
      </w:r>
      <w:r>
        <w:t xml:space="preserve"> </w:t>
      </w:r>
      <w:r>
        <w:t xml:space="preserve">was implemented to recompute</w:t>
      </w:r>
      <w:r>
        <w:t xml:space="preserve"> </w:t>
      </w:r>
      <w:r>
        <w:rPr>
          <w:i/>
          <w:iCs/>
        </w:rPr>
        <w:t xml:space="preserve">p</w:t>
      </w:r>
      <w:r>
        <w:t xml:space="preserve">-values based on reported test statistics and their degrees of freedom, that were re-formatted into a standardized APA format following coding. If the degrees of freedom (DF) were not reported for a test, but the</w:t>
      </w:r>
      <w:r>
        <w:t xml:space="preserve"> </w:t>
      </w:r>
      <w:r>
        <w:rPr>
          <w:i/>
          <w:iCs/>
        </w:rPr>
        <w:t xml:space="preserve">F-</w:t>
      </w:r>
      <w:r>
        <w:t xml:space="preserve"> </w:t>
      </w:r>
      <w:r>
        <w:t xml:space="preserve">or</w:t>
      </w:r>
      <w:r>
        <w:t xml:space="preserve"> </w:t>
      </w:r>
      <w:r>
        <w:rPr>
          <w:i/>
          <w:iCs/>
        </w:rPr>
        <w:t xml:space="preserve">t</w:t>
      </w:r>
      <w:r>
        <w:t xml:space="preserve">-value were included, we attempted to infer these values from the study design. For reproducibility, we include a link to the Excel calculator on the OSF page. Two authors (JW and CM) estimated the degrees of freedom for missing data independently. If there was a disagreement, both results were tested for reproducibility, and authors were given the benefit of the doubt.</w:t>
      </w:r>
    </w:p>
    <w:p>
      <w:pPr>
        <w:pStyle w:val="BodyText"/>
      </w:pPr>
      <w:r>
        <w:t xml:space="preserve">We compared the reported and recalculated</w:t>
      </w:r>
      <w:r>
        <w:t xml:space="preserve"> </w:t>
      </w:r>
      <w:r>
        <w:rPr>
          <w:i/>
          <w:iCs/>
        </w:rPr>
        <w:t xml:space="preserve">p</w:t>
      </w:r>
      <w:r>
        <w:t xml:space="preserve">-value and report the result as:</w:t>
      </w:r>
    </w:p>
    <w:p>
      <w:pPr>
        <w:pStyle w:val="BodyText"/>
      </w:pPr>
      <w:r>
        <w:t xml:space="preserve">-</w:t>
      </w:r>
      <w:r>
        <w:t xml:space="preserve"> </w:t>
      </w:r>
      <w:r>
        <w:rPr>
          <w:b/>
          <w:bCs/>
          <w:i/>
          <w:iCs/>
        </w:rPr>
        <w:t xml:space="preserve">Reproduced</w:t>
      </w:r>
      <w:r>
        <w:rPr>
          <w:b/>
          <w:bCs/>
        </w:rPr>
        <w:t xml:space="preserve">:</w:t>
      </w:r>
      <w:r>
        <w:t xml:space="preserve"> </w:t>
      </w:r>
      <w:r>
        <w:t xml:space="preserve">if the reported</w:t>
      </w:r>
      <w:r>
        <w:t xml:space="preserve"> </w:t>
      </w:r>
      <w:r>
        <w:rPr>
          <w:i/>
          <w:iCs/>
        </w:rPr>
        <w:t xml:space="preserve">p</w:t>
      </w:r>
      <w:r>
        <w:t xml:space="preserve">-value matches the recomputed</w:t>
      </w:r>
      <w:r>
        <w:t xml:space="preserve"> </w:t>
      </w:r>
      <w:r>
        <w:rPr>
          <w:i/>
          <w:iCs/>
        </w:rPr>
        <w:t xml:space="preserve">p</w:t>
      </w:r>
      <w:r>
        <w:t xml:space="preserve">-value. We rounded up or down the recomputed</w:t>
      </w:r>
      <w:r>
        <w:t xml:space="preserve"> </w:t>
      </w:r>
      <w:r>
        <w:rPr>
          <w:i/>
          <w:iCs/>
        </w:rPr>
        <w:t xml:space="preserve">p</w:t>
      </w:r>
      <w:r>
        <w:t xml:space="preserve">-value to 2 decimals to see whether it matches the reported</w:t>
      </w:r>
      <w:r>
        <w:t xml:space="preserve"> </w:t>
      </w:r>
      <w:r>
        <w:rPr>
          <w:i/>
          <w:iCs/>
        </w:rPr>
        <w:t xml:space="preserve">p</w:t>
      </w:r>
      <w:r>
        <w:t xml:space="preserve">-value. For instance, in the case that the recomputed</w:t>
      </w:r>
      <w:r>
        <w:t xml:space="preserve"> </w:t>
      </w:r>
      <w:r>
        <w:rPr>
          <w:i/>
          <w:iCs/>
        </w:rPr>
        <w:t xml:space="preserve">p</w:t>
      </w:r>
      <w:r>
        <w:t xml:space="preserve">-value was 0.034 and the reported</w:t>
      </w:r>
      <w:r>
        <w:t xml:space="preserve"> </w:t>
      </w:r>
      <w:r>
        <w:rPr>
          <w:i/>
          <w:iCs/>
        </w:rPr>
        <w:t xml:space="preserve">p</w:t>
      </w:r>
      <w:r>
        <w:t xml:space="preserve">-value had been rounded to 0.03, we considered it had been</w:t>
      </w:r>
      <w:r>
        <w:t xml:space="preserve"> </w:t>
      </w:r>
      <w:r>
        <w:rPr>
          <w:i/>
          <w:iCs/>
        </w:rPr>
        <w:t xml:space="preserve">reproduced</w:t>
      </w:r>
      <w:r>
        <w:t xml:space="preserve">.</w:t>
      </w:r>
    </w:p>
    <w:p>
      <w:pPr>
        <w:pStyle w:val="BodyText"/>
      </w:pPr>
      <w:r>
        <w:t xml:space="preserve">-</w:t>
      </w:r>
      <w:r>
        <w:t xml:space="preserve"> </w:t>
      </w:r>
      <w:r>
        <w:rPr>
          <w:b/>
          <w:bCs/>
          <w:i/>
          <w:iCs/>
        </w:rPr>
        <w:t xml:space="preserve">Not reproduced but compatible</w:t>
      </w:r>
      <w:r>
        <w:rPr>
          <w:b/>
          <w:bCs/>
        </w:rPr>
        <w:t xml:space="preserve">:</w:t>
      </w:r>
      <w:r>
        <w:t xml:space="preserve"> </w:t>
      </w:r>
      <w:r>
        <w:t xml:space="preserve">if the original</w:t>
      </w:r>
      <w:r>
        <w:t xml:space="preserve"> </w:t>
      </w:r>
      <w:r>
        <w:rPr>
          <w:i/>
          <w:iCs/>
        </w:rPr>
        <w:t xml:space="preserve">p</w:t>
      </w:r>
      <w:r>
        <w:t xml:space="preserve">-value had been reported as</w:t>
      </w:r>
      <w:r>
        <w:t xml:space="preserve"> </w:t>
      </w:r>
      <w:r>
        <w:rPr>
          <w:i/>
          <w:iCs/>
        </w:rPr>
        <w:t xml:space="preserve">p</w:t>
      </w:r>
      <w:r>
        <w:t xml:space="preserve"> </w:t>
      </w:r>
      <w:r>
        <w:t xml:space="preserve">&lt; 0.05 or</w:t>
      </w:r>
      <w:r>
        <w:t xml:space="preserve"> </w:t>
      </w:r>
      <w:r>
        <w:rPr>
          <w:i/>
          <w:iCs/>
        </w:rPr>
        <w:t xml:space="preserve">p</w:t>
      </w:r>
      <w:r>
        <w:t xml:space="preserve"> </w:t>
      </w:r>
      <w:r>
        <w:t xml:space="preserve">&gt; 0.05 and the recomputed</w:t>
      </w:r>
      <w:r>
        <w:t xml:space="preserve"> </w:t>
      </w:r>
      <w:r>
        <w:rPr>
          <w:i/>
          <w:iCs/>
        </w:rPr>
        <w:t xml:space="preserve">p</w:t>
      </w:r>
      <w:r>
        <w:t xml:space="preserve">-value is compatible with the (non)significance of the reported</w:t>
      </w:r>
      <w:r>
        <w:t xml:space="preserve"> </w:t>
      </w:r>
      <w:r>
        <w:rPr>
          <w:i/>
          <w:iCs/>
        </w:rPr>
        <w:t xml:space="preserve">p</w:t>
      </w:r>
      <w:r>
        <w:t xml:space="preserve">-value. For instance, an original</w:t>
      </w:r>
      <w:r>
        <w:t xml:space="preserve"> </w:t>
      </w:r>
      <w:r>
        <w:rPr>
          <w:i/>
          <w:iCs/>
        </w:rPr>
        <w:t xml:space="preserve">p</w:t>
      </w:r>
      <w:r>
        <w:t xml:space="preserve">-value reported as anything less than</w:t>
      </w:r>
      <w:r>
        <w:t xml:space="preserve"> </w:t>
      </w:r>
      <w:r>
        <w:rPr>
          <w:i/>
          <w:iCs/>
        </w:rPr>
        <w:t xml:space="preserve">p</w:t>
      </w:r>
      <w:r>
        <w:t xml:space="preserve"> </w:t>
      </w:r>
      <w:r>
        <w:t xml:space="preserve">&lt; 0.05 was considered</w:t>
      </w:r>
      <w:r>
        <w:t xml:space="preserve"> </w:t>
      </w:r>
      <w:r>
        <w:rPr>
          <w:i/>
          <w:iCs/>
        </w:rPr>
        <w:t xml:space="preserve">not reproduced but compatible</w:t>
      </w:r>
      <w:r>
        <w:t xml:space="preserve"> </w:t>
      </w:r>
      <w:r>
        <w:t xml:space="preserve">if the recomputed</w:t>
      </w:r>
      <w:r>
        <w:t xml:space="preserve"> </w:t>
      </w:r>
      <w:r>
        <w:rPr>
          <w:i/>
          <w:iCs/>
        </w:rPr>
        <w:t xml:space="preserve">p</w:t>
      </w:r>
      <w:r>
        <w:t xml:space="preserve">-value reached statistical significance. The same would apply to a nonsignificant</w:t>
      </w:r>
      <w:r>
        <w:t xml:space="preserve"> </w:t>
      </w:r>
      <w:r>
        <w:rPr>
          <w:i/>
          <w:iCs/>
        </w:rPr>
        <w:t xml:space="preserve">p</w:t>
      </w:r>
      <w:r>
        <w:t xml:space="preserve">-value (</w:t>
      </w:r>
      <w:r>
        <w:rPr>
          <w:i/>
          <w:iCs/>
        </w:rPr>
        <w:t xml:space="preserve">p</w:t>
      </w:r>
      <w:r>
        <w:t xml:space="preserve"> </w:t>
      </w:r>
      <w:r>
        <w:t xml:space="preserve">&gt; 0.05).</w:t>
      </w:r>
    </w:p>
    <w:p>
      <w:pPr>
        <w:pStyle w:val="BodyText"/>
      </w:pPr>
      <w:r>
        <w:t xml:space="preserve">-</w:t>
      </w:r>
      <w:r>
        <w:t xml:space="preserve"> </w:t>
      </w:r>
      <w:r>
        <w:rPr>
          <w:b/>
          <w:bCs/>
          <w:i/>
          <w:iCs/>
        </w:rPr>
        <w:t xml:space="preserve">Incorrectly rounded</w:t>
      </w:r>
      <w:r>
        <w:t xml:space="preserve">: if the recomputed</w:t>
      </w:r>
      <w:r>
        <w:t xml:space="preserve"> </w:t>
      </w:r>
      <w:r>
        <w:rPr>
          <w:i/>
          <w:iCs/>
        </w:rPr>
        <w:t xml:space="preserve">p</w:t>
      </w:r>
      <w:r>
        <w:t xml:space="preserve">-value differed from the reported</w:t>
      </w:r>
      <w:r>
        <w:t xml:space="preserve"> </w:t>
      </w:r>
      <w:r>
        <w:rPr>
          <w:i/>
          <w:iCs/>
        </w:rPr>
        <w:t xml:space="preserve">p</w:t>
      </w:r>
      <w:r>
        <w:t xml:space="preserve">-value after rounding off the</w:t>
      </w:r>
      <w:r>
        <w:t xml:space="preserve"> </w:t>
      </w:r>
      <w:r>
        <w:rPr>
          <w:i/>
          <w:iCs/>
        </w:rPr>
        <w:t xml:space="preserve">p</w:t>
      </w:r>
      <w:r>
        <w:t xml:space="preserve">-value by a decimal place. For instance, if the recomputed</w:t>
      </w:r>
      <w:r>
        <w:t xml:space="preserve"> </w:t>
      </w:r>
      <w:r>
        <w:rPr>
          <w:i/>
          <w:iCs/>
        </w:rPr>
        <w:t xml:space="preserve">p</w:t>
      </w:r>
      <w:r>
        <w:t xml:space="preserve">-value was 0.038 but it had been reported as 0.03, we considered it as incorrectly rounded. Another example could be if the original</w:t>
      </w:r>
      <w:r>
        <w:t xml:space="preserve"> </w:t>
      </w:r>
      <w:r>
        <w:rPr>
          <w:i/>
          <w:iCs/>
        </w:rPr>
        <w:t xml:space="preserve">p</w:t>
      </w:r>
      <w:r>
        <w:t xml:space="preserve">-value was reported as</w:t>
      </w:r>
      <w:r>
        <w:t xml:space="preserve"> </w:t>
      </w:r>
      <w:r>
        <w:rPr>
          <w:i/>
          <w:iCs/>
        </w:rPr>
        <w:t xml:space="preserve">p</w:t>
      </w:r>
      <w:r>
        <w:t xml:space="preserve"> </w:t>
      </w:r>
      <w:r>
        <w:t xml:space="preserve">&lt; 0.01 but the recomputed</w:t>
      </w:r>
      <w:r>
        <w:t xml:space="preserve"> </w:t>
      </w:r>
      <w:r>
        <w:rPr>
          <w:i/>
          <w:iCs/>
        </w:rPr>
        <w:t xml:space="preserve">p</w:t>
      </w:r>
      <w:r>
        <w:t xml:space="preserve">-value was 0.015.</w:t>
      </w:r>
    </w:p>
    <w:p>
      <w:pPr>
        <w:pStyle w:val="BodyText"/>
      </w:pPr>
      <w:r>
        <w:t xml:space="preserve">-</w:t>
      </w:r>
      <w:r>
        <w:t xml:space="preserve"> </w:t>
      </w:r>
      <w:r>
        <w:rPr>
          <w:b/>
          <w:bCs/>
          <w:i/>
          <w:iCs/>
        </w:rPr>
        <w:t xml:space="preserve">Incompatible</w:t>
      </w:r>
      <w:r>
        <w:rPr>
          <w:b/>
          <w:bCs/>
        </w:rPr>
        <w:t xml:space="preserve">:</w:t>
      </w:r>
      <w:r>
        <w:t xml:space="preserve"> </w:t>
      </w:r>
      <w:r>
        <w:t xml:space="preserve">if the reported</w:t>
      </w:r>
      <w:r>
        <w:t xml:space="preserve"> </w:t>
      </w:r>
      <w:r>
        <w:rPr>
          <w:i/>
          <w:iCs/>
        </w:rPr>
        <w:t xml:space="preserve">p</w:t>
      </w:r>
      <w:r>
        <w:t xml:space="preserve">-value was equal to or smaller than the type I error rate (typically 0.05) but the recomputed</w:t>
      </w:r>
      <w:r>
        <w:t xml:space="preserve"> </w:t>
      </w:r>
      <w:r>
        <w:rPr>
          <w:i/>
          <w:iCs/>
        </w:rPr>
        <w:t xml:space="preserve">p</w:t>
      </w:r>
      <w:r>
        <w:t xml:space="preserve">-value was larger than the type I error rate, or vice versa. As this changed the statistical conclusion, the reported</w:t>
      </w:r>
      <w:r>
        <w:t xml:space="preserve"> </w:t>
      </w:r>
      <w:r>
        <w:rPr>
          <w:i/>
          <w:iCs/>
        </w:rPr>
        <w:t xml:space="preserve">p</w:t>
      </w:r>
      <w:r>
        <w:t xml:space="preserve">-value is considered incompatible with the reproduced</w:t>
      </w:r>
      <w:r>
        <w:t xml:space="preserve"> </w:t>
      </w:r>
      <w:r>
        <w:rPr>
          <w:i/>
          <w:iCs/>
        </w:rPr>
        <w:t xml:space="preserve">p</w:t>
      </w:r>
      <w:r>
        <w:t xml:space="preserve">-value. For instance, if the recomputed</w:t>
      </w:r>
      <w:r>
        <w:t xml:space="preserve"> </w:t>
      </w:r>
      <w:r>
        <w:rPr>
          <w:i/>
          <w:iCs/>
        </w:rPr>
        <w:t xml:space="preserve">p</w:t>
      </w:r>
      <w:r>
        <w:t xml:space="preserve">-value was 0.058 but it had been reported as</w:t>
      </w:r>
      <w:r>
        <w:t xml:space="preserve"> </w:t>
      </w:r>
      <w:r>
        <w:rPr>
          <w:i/>
          <w:iCs/>
        </w:rPr>
        <w:t xml:space="preserve">p</w:t>
      </w:r>
      <w:r>
        <w:t xml:space="preserve"> </w:t>
      </w:r>
      <w:r>
        <w:t xml:space="preserve">= 0.05 (or</w:t>
      </w:r>
      <w:r>
        <w:t xml:space="preserve"> </w:t>
      </w:r>
      <w:r>
        <w:rPr>
          <w:i/>
          <w:iCs/>
        </w:rPr>
        <w:t xml:space="preserve">p</w:t>
      </w:r>
      <w:r>
        <w:t xml:space="preserve"> </w:t>
      </w:r>
      <w:r>
        <w:t xml:space="preserve">&lt; 0.05) and the study claimed that statistical significance had been reached, we would consider it as</w:t>
      </w:r>
      <w:r>
        <w:t xml:space="preserve"> </w:t>
      </w:r>
      <w:r>
        <w:rPr>
          <w:i/>
          <w:iCs/>
        </w:rPr>
        <w:t xml:space="preserve">incompatible</w:t>
      </w:r>
      <w:r>
        <w:t xml:space="preserve">.</w:t>
      </w:r>
    </w:p>
    <w:p>
      <w:pPr>
        <w:pStyle w:val="BodyText"/>
      </w:pPr>
      <w:r>
        <w:t xml:space="preserve">All proportions for Aim 1 are presented with 95% Wilson confidence intervals.</w:t>
      </w:r>
    </w:p>
    <w:p>
      <w:pPr>
        <w:pStyle w:val="BodyText"/>
      </w:pPr>
      <w:r>
        <w:rPr>
          <w:b/>
          <w:bCs/>
        </w:rPr>
        <w:t xml:space="preserve">Retrospective Metacheck analysis</w:t>
      </w:r>
      <w:r>
        <w:t xml:space="preserve"> </w:t>
      </w:r>
      <w:r>
        <w:t xml:space="preserve">As described in the Introduction, we retrospectively applied</w:t>
      </w:r>
      <w:r>
        <w:t xml:space="preserve"> </w:t>
      </w:r>
      <w:r>
        <w:rPr>
          <w:i/>
          <w:iCs/>
        </w:rPr>
        <w:t xml:space="preserve">Metacheck</w:t>
      </w:r>
      <w:r>
        <w:t xml:space="preserve"> </w:t>
      </w:r>
      <w:r>
        <w:t xml:space="preserve">(version 0.1.0;</w:t>
      </w:r>
      <w:r>
        <w:t xml:space="preserve"> </w:t>
      </w:r>
      <w:r>
        <w:t xml:space="preserve">(DeBruine et al., 2026)</w:t>
      </w:r>
      <w:r>
        <w:t xml:space="preserve">) to conduct a more comprehensive assessment of reporting practices across the same 350 studies. PDF-to-XML conversion was performed via GROBID using a hosted GROBID instance (https://thesanogoeffect-grobid-papercheck.hf.space). The repository contains the cached outputs, but the full</w:t>
      </w:r>
      <w:r>
        <w:t xml:space="preserve"> </w:t>
      </w:r>
      <w:r>
        <w:rPr>
          <w:rStyle w:val="VerbatimChar"/>
        </w:rPr>
        <w:t xml:space="preserve">.Rds</w:t>
      </w:r>
      <w:r>
        <w:t xml:space="preserve"> </w:t>
      </w:r>
      <w:r>
        <w:t xml:space="preserve">file has been redacted to prevent copyright infringements. Two PDF files could not be converted to XML, leaving 348 articles for automated analysis. Three modules were applied: (1) stat_p_exact, which extracted all</w:t>
      </w:r>
      <w:r>
        <w:t xml:space="preserve"> </w:t>
      </w:r>
      <w:r>
        <w:rPr>
          <w:i/>
          <w:iCs/>
        </w:rPr>
        <w:t xml:space="preserve">p</w:t>
      </w:r>
      <w:r>
        <w:t xml:space="preserve">-values from the results sections and classified them as exact (e.g.,</w:t>
      </w:r>
      <w:r>
        <w:t xml:space="preserve"> </w:t>
      </w:r>
      <w:r>
        <w:rPr>
          <w:i/>
          <w:iCs/>
        </w:rPr>
        <w:t xml:space="preserve">p</w:t>
      </w:r>
      <w:r>
        <w:t xml:space="preserve"> </w:t>
      </w:r>
      <w:r>
        <w:t xml:space="preserve">= .034) or imprecise (e.g.,</w:t>
      </w:r>
      <w:r>
        <w:t xml:space="preserve"> </w:t>
      </w:r>
      <w:r>
        <w:rPr>
          <w:i/>
          <w:iCs/>
        </w:rPr>
        <w:t xml:space="preserve">p</w:t>
      </w:r>
      <w:r>
        <w:t xml:space="preserve"> </w:t>
      </w:r>
      <w:r>
        <w:t xml:space="preserve">&lt; .05); (2) stat_effect_size, which detected whether standardised effect sizes were reported alongside</w:t>
      </w:r>
      <w:r>
        <w:t xml:space="preserve"> </w:t>
      </w:r>
      <w:r>
        <w:rPr>
          <w:i/>
          <w:iCs/>
        </w:rPr>
        <w:t xml:space="preserve">t</w:t>
      </w:r>
      <w:r>
        <w:t xml:space="preserve">- and</w:t>
      </w:r>
      <w:r>
        <w:t xml:space="preserve"> </w:t>
      </w:r>
      <w:r>
        <w:rPr>
          <w:i/>
          <w:iCs/>
        </w:rPr>
        <w:t xml:space="preserve">F</w:t>
      </w:r>
      <w:r>
        <w:t xml:space="preserve">-tests; and (3) stat_check, which recomputed</w:t>
      </w:r>
      <w:r>
        <w:t xml:space="preserve"> </w:t>
      </w:r>
      <w:r>
        <w:rPr>
          <w:i/>
          <w:iCs/>
        </w:rPr>
        <w:t xml:space="preserve">p</w:t>
      </w:r>
      <w:r>
        <w:t xml:space="preserve">-values from all reported</w:t>
      </w:r>
      <w:r>
        <w:t xml:space="preserve"> </w:t>
      </w:r>
      <w:r>
        <w:rPr>
          <w:i/>
          <w:iCs/>
        </w:rPr>
        <w:t xml:space="preserve">t</w:t>
      </w:r>
      <w:r>
        <w:t xml:space="preserve">- and</w:t>
      </w:r>
      <w:r>
        <w:t xml:space="preserve"> </w:t>
      </w:r>
      <w:r>
        <w:rPr>
          <w:i/>
          <w:iCs/>
        </w:rPr>
        <w:t xml:space="preserve">F</w:t>
      </w:r>
      <w:r>
        <w:t xml:space="preserve">-statistics with sufficient information, analogous to the statcheck procedure applied to the manually coded subset. For the effect sizes that were reported, we additionally recorded whether</w:t>
      </w:r>
      <w:r>
        <w:t xml:space="preserve"> </w:t>
      </w:r>
      <w:r>
        <w:rPr>
          <w:i/>
          <w:iCs/>
        </w:rPr>
        <w:t xml:space="preserve">stat_effect_size</w:t>
      </w:r>
      <w:r>
        <w:t xml:space="preserve"> </w:t>
      </w:r>
      <w:r>
        <w:t xml:space="preserve">was able to check the reported value against the test statistic and its degrees of freedom, which is not possible for every effect-size metric or study design. We additionally searched article full-texts for the phrase</w:t>
      </w:r>
      <w:r>
        <w:t xml:space="preserve"> </w:t>
      </w:r>
      <w:r>
        <w:t xml:space="preserve">“95% CI”</w:t>
      </w:r>
      <w:r>
        <w:t xml:space="preserve"> </w:t>
      </w:r>
      <w:r>
        <w:t xml:space="preserve">or</w:t>
      </w:r>
      <w:r>
        <w:t xml:space="preserve"> </w:t>
      </w:r>
      <w:r>
        <w:t xml:space="preserve">“95% confidence interval”</w:t>
      </w:r>
      <w:r>
        <w:t xml:space="preserve"> </w:t>
      </w:r>
      <w:r>
        <w:t xml:space="preserve">to estimate the prevalence of confidence interval reporting. This expanded analysis was not pre-registered; it was added retrospectively to capitalise on improved measurement coverage, and is reported transparently alongside the pre-registered analysis.</w:t>
      </w:r>
    </w:p>
    <w:bookmarkEnd w:id="17"/>
    <w:bookmarkStart w:id="18" w:name="software"/>
    <w:p>
      <w:pPr>
        <w:pStyle w:val="Heading1"/>
      </w:pPr>
      <w:r>
        <w:t xml:space="preserve">Software</w:t>
      </w:r>
    </w:p>
    <w:p>
      <w:pPr>
        <w:pStyle w:val="FirstParagraph"/>
      </w:pPr>
      <w:r>
        <w:t xml:space="preserve">All analyses were conducted in R (Ver 4.4.0) using a suite of packages. Data were imported using</w:t>
      </w:r>
      <w:r>
        <w:t xml:space="preserve"> </w:t>
      </w:r>
      <w:r>
        <w:rPr>
          <w:i/>
          <w:iCs/>
        </w:rPr>
        <w:t xml:space="preserve">readr</w:t>
      </w:r>
      <w:r>
        <w:t xml:space="preserve"> </w:t>
      </w:r>
      <w:r>
        <w:t xml:space="preserve">(Wickham et al., 2026b)</w:t>
      </w:r>
      <w:r>
        <w:t xml:space="preserve"> </w:t>
      </w:r>
      <w:r>
        <w:t xml:space="preserve">and</w:t>
      </w:r>
      <w:r>
        <w:t xml:space="preserve"> </w:t>
      </w:r>
      <w:r>
        <w:rPr>
          <w:i/>
          <w:iCs/>
        </w:rPr>
        <w:t xml:space="preserve">readxl</w:t>
      </w:r>
      <w:r>
        <w:t xml:space="preserve"> </w:t>
      </w:r>
      <w:r>
        <w:t xml:space="preserve">(Wickham and Bryan, 2025)</w:t>
      </w:r>
      <w:r>
        <w:t xml:space="preserve">, while data wrangling and transformation were performed with</w:t>
      </w:r>
      <w:r>
        <w:t xml:space="preserve"> </w:t>
      </w:r>
      <w:r>
        <w:rPr>
          <w:i/>
          <w:iCs/>
        </w:rPr>
        <w:t xml:space="preserve">dplyr</w:t>
      </w:r>
      <w:r>
        <w:t xml:space="preserve"> </w:t>
      </w:r>
      <w:r>
        <w:t xml:space="preserve">(Wickham et al., 2026a)</w:t>
      </w:r>
      <w:r>
        <w:t xml:space="preserve">,</w:t>
      </w:r>
      <w:r>
        <w:t xml:space="preserve"> </w:t>
      </w:r>
      <w:r>
        <w:rPr>
          <w:i/>
          <w:iCs/>
        </w:rPr>
        <w:t xml:space="preserve">tidyr</w:t>
      </w:r>
      <w:r>
        <w:t xml:space="preserve"> </w:t>
      </w:r>
      <w:r>
        <w:t xml:space="preserve">(Wickham et al., 2025b)</w:t>
      </w:r>
      <w:r>
        <w:t xml:space="preserve">,</w:t>
      </w:r>
      <w:r>
        <w:t xml:space="preserve"> </w:t>
      </w:r>
      <w:r>
        <w:rPr>
          <w:i/>
          <w:iCs/>
        </w:rPr>
        <w:t xml:space="preserve">stringr</w:t>
      </w:r>
      <w:r>
        <w:t xml:space="preserve"> </w:t>
      </w:r>
      <w:r>
        <w:t xml:space="preserve">(Wickham, 2025)</w:t>
      </w:r>
      <w:r>
        <w:t xml:space="preserve">,</w:t>
      </w:r>
      <w:r>
        <w:t xml:space="preserve"> </w:t>
      </w:r>
      <w:r>
        <w:rPr>
          <w:i/>
          <w:iCs/>
        </w:rPr>
        <w:t xml:space="preserve">scales</w:t>
      </w:r>
      <w:r>
        <w:t xml:space="preserve"> </w:t>
      </w:r>
      <w:r>
        <w:t xml:space="preserve">(Wickham et al., 2025a)</w:t>
      </w:r>
      <w:r>
        <w:t xml:space="preserve"> </w:t>
      </w:r>
      <w:r>
        <w:t xml:space="preserve">and</w:t>
      </w:r>
      <w:r>
        <w:t xml:space="preserve"> </w:t>
      </w:r>
      <w:r>
        <w:rPr>
          <w:i/>
          <w:iCs/>
        </w:rPr>
        <w:t xml:space="preserve">tibble</w:t>
      </w:r>
      <w:r>
        <w:t xml:space="preserve"> </w:t>
      </w:r>
      <w:r>
        <w:t xml:space="preserve">(Müller and Wickham, 2026)</w:t>
      </w:r>
      <w:r>
        <w:t xml:space="preserve">. The</w:t>
      </w:r>
      <w:r>
        <w:t xml:space="preserve"> </w:t>
      </w:r>
      <w:r>
        <w:rPr>
          <w:i/>
          <w:iCs/>
        </w:rPr>
        <w:t xml:space="preserve">here</w:t>
      </w:r>
      <w:r>
        <w:t xml:space="preserve"> </w:t>
      </w:r>
      <w:r>
        <w:t xml:space="preserve">package</w:t>
      </w:r>
      <w:r>
        <w:t xml:space="preserve"> </w:t>
      </w:r>
      <w:r>
        <w:t xml:space="preserve">(Müller, 2025)</w:t>
      </w:r>
      <w:r>
        <w:t xml:space="preserve"> </w:t>
      </w:r>
      <w:r>
        <w:t xml:space="preserve">was used to manage file paths. Statistical results reported in the literature were screened using</w:t>
      </w:r>
      <w:r>
        <w:t xml:space="preserve"> </w:t>
      </w:r>
      <w:r>
        <w:rPr>
          <w:i/>
          <w:iCs/>
        </w:rPr>
        <w:t xml:space="preserve">statcheck</w:t>
      </w:r>
      <w:r>
        <w:t xml:space="preserve"> </w:t>
      </w:r>
      <w:r>
        <w:t xml:space="preserve">(Nuijten and Epskamp, 2024)</w:t>
      </w:r>
      <w:r>
        <w:t xml:space="preserve"> </w:t>
      </w:r>
      <w:r>
        <w:t xml:space="preserve">and</w:t>
      </w:r>
      <w:r>
        <w:t xml:space="preserve"> </w:t>
      </w:r>
      <w:r>
        <w:rPr>
          <w:i/>
          <w:iCs/>
        </w:rPr>
        <w:t xml:space="preserve">Metacheck</w:t>
      </w:r>
      <w:r>
        <w:t xml:space="preserve"> </w:t>
      </w:r>
      <w:r>
        <w:t xml:space="preserve">(DeBruine et al., 2026)</w:t>
      </w:r>
      <w:r>
        <w:t xml:space="preserve">. Tables were generated with</w:t>
      </w:r>
      <w:r>
        <w:t xml:space="preserve"> </w:t>
      </w:r>
      <w:r>
        <w:rPr>
          <w:i/>
          <w:iCs/>
        </w:rPr>
        <w:t xml:space="preserve">flextable</w:t>
      </w:r>
      <w:r>
        <w:t xml:space="preserve"> </w:t>
      </w:r>
      <w:r>
        <w:t xml:space="preserve">(Gohel and Skintzos, 2026)</w:t>
      </w:r>
      <w:r>
        <w:t xml:space="preserve">, and</w:t>
      </w:r>
      <w:r>
        <w:t xml:space="preserve"> </w:t>
      </w:r>
      <w:r>
        <w:rPr>
          <w:i/>
          <w:iCs/>
        </w:rPr>
        <w:t xml:space="preserve">knitr</w:t>
      </w:r>
      <w:r>
        <w:t xml:space="preserve"> </w:t>
      </w:r>
      <w:r>
        <w:t xml:space="preserve">(Xie, 2025)</w:t>
      </w:r>
      <w:r>
        <w:t xml:space="preserve"> </w:t>
      </w:r>
      <w:r>
        <w:t xml:space="preserve">supported the integration of analyses into the report. The manuscript was written in</w:t>
      </w:r>
      <w:r>
        <w:t xml:space="preserve"> </w:t>
      </w:r>
      <w:r>
        <w:rPr>
          <w:i/>
          <w:iCs/>
        </w:rPr>
        <w:t xml:space="preserve">Quarto</w:t>
      </w:r>
      <w:r>
        <w:t xml:space="preserve"> </w:t>
      </w:r>
      <w:r>
        <w:t xml:space="preserve">(Allaire and Dervieux, 2025)</w:t>
      </w:r>
      <w:r>
        <w:t xml:space="preserve">.</w:t>
      </w:r>
    </w:p>
    <w:bookmarkEnd w:id="18"/>
    <w:bookmarkStart w:id="26" w:name="results"/>
    <w:p>
      <w:pPr>
        <w:pStyle w:val="Heading1"/>
      </w:pPr>
      <w:r>
        <w:t xml:space="preserve">Results</w:t>
      </w:r>
    </w:p>
    <w:bookmarkStart w:id="24" w:name="X346f9ae8678a3e2c6d685b980bf778509d93d77"/>
    <w:p>
      <w:pPr>
        <w:pStyle w:val="Heading2"/>
      </w:pPr>
      <w:r>
        <w:t xml:space="preserve">Results part 1 - Manually coded subset (pre-registered)</w:t>
      </w:r>
    </w:p>
    <w:bookmarkStart w:id="20" w:name="Xe7ee334b38a068cfb18becff5c627ac0685bd94"/>
    <w:p>
      <w:pPr>
        <w:pStyle w:val="Heading3"/>
      </w:pPr>
      <w:r>
        <w:t xml:space="preserve">Aim 1: Reporting practices for the primary effect of interest</w:t>
      </w:r>
    </w:p>
    <w:p>
      <w:pPr>
        <w:pStyle w:val="FirstParagraph"/>
      </w:pPr>
      <w:r>
        <w:t xml:space="preserve">Whilst 94.6% (95% CI 91.7–96.5%,</w:t>
      </w:r>
      <w:r>
        <w:t xml:space="preserve"> </w:t>
      </w:r>
      <w:r>
        <w:rPr>
          <w:i/>
          <w:iCs/>
        </w:rPr>
        <w:t xml:space="preserve">n</w:t>
      </w:r>
      <w:r>
        <w:t xml:space="preserve"> </w:t>
      </w:r>
      <w:r>
        <w:t xml:space="preserve">= 331/350) of studies reported a</w:t>
      </w:r>
      <w:r>
        <w:t xml:space="preserve"> </w:t>
      </w:r>
      <w:r>
        <w:rPr>
          <w:i/>
          <w:iCs/>
        </w:rPr>
        <w:t xml:space="preserve">p</w:t>
      </w:r>
      <w:r>
        <w:t xml:space="preserve">-value for the main effect of interest, only 39.7% (95% CI 34.7–44.9%,</w:t>
      </w:r>
      <w:r>
        <w:t xml:space="preserve"> </w:t>
      </w:r>
      <w:r>
        <w:rPr>
          <w:i/>
          <w:iCs/>
        </w:rPr>
        <w:t xml:space="preserve">n</w:t>
      </w:r>
      <w:r>
        <w:t xml:space="preserve"> </w:t>
      </w:r>
      <w:r>
        <w:t xml:space="preserve">= 139/350) reported the test statistic (</w:t>
      </w:r>
      <w:r>
        <w:rPr>
          <w:i/>
          <w:iCs/>
        </w:rPr>
        <w:t xml:space="preserve">F</w:t>
      </w:r>
      <w:r>
        <w:t xml:space="preserve"> </w:t>
      </w:r>
      <w:r>
        <w:t xml:space="preserve">or</w:t>
      </w:r>
      <w:r>
        <w:t xml:space="preserve"> </w:t>
      </w:r>
      <w:r>
        <w:rPr>
          <w:i/>
          <w:iCs/>
        </w:rPr>
        <w:t xml:space="preserve">t</w:t>
      </w:r>
      <w:r>
        <w:t xml:space="preserve">), 28.9% (95% CI 24.4–33.8%,</w:t>
      </w:r>
      <w:r>
        <w:t xml:space="preserve"> </w:t>
      </w:r>
      <w:r>
        <w:rPr>
          <w:i/>
          <w:iCs/>
        </w:rPr>
        <w:t xml:space="preserve">n</w:t>
      </w:r>
      <w:r>
        <w:t xml:space="preserve"> </w:t>
      </w:r>
      <w:r>
        <w:t xml:space="preserve">= 101/350) reported the degrees of freedom, 53.7% (95% CI 48.5–58.9%,</w:t>
      </w:r>
      <w:r>
        <w:t xml:space="preserve"> </w:t>
      </w:r>
      <w:r>
        <w:rPr>
          <w:i/>
          <w:iCs/>
        </w:rPr>
        <w:t xml:space="preserve">n</w:t>
      </w:r>
      <w:r>
        <w:t xml:space="preserve"> </w:t>
      </w:r>
      <w:r>
        <w:t xml:space="preserve">= 188/350) reported an estimate of effect size, and only 7.7% (95% CI 5.4–11.0%,</w:t>
      </w:r>
      <w:r>
        <w:t xml:space="preserve"> </w:t>
      </w:r>
      <w:r>
        <w:rPr>
          <w:i/>
          <w:iCs/>
        </w:rPr>
        <w:t xml:space="preserve">n</w:t>
      </w:r>
      <w:r>
        <w:t xml:space="preserve"> </w:t>
      </w:r>
      <w:r>
        <w:t xml:space="preserve">= 27/350) reported a confidence interval around the effect size. Of the effect sizes reported, 4.0% (2.4–6.6%,</w:t>
      </w:r>
      <w:r>
        <w:t xml:space="preserve"> </w:t>
      </w:r>
      <w:r>
        <w:rPr>
          <w:i/>
          <w:iCs/>
        </w:rPr>
        <w:t xml:space="preserve">n</w:t>
      </w:r>
      <w:r>
        <w:t xml:space="preserve"> </w:t>
      </w:r>
      <w:r>
        <w:t xml:space="preserve">= 14) were both standardised and unstandardised, 1.7% (0.8–3.7%,</w:t>
      </w:r>
      <w:r>
        <w:t xml:space="preserve"> </w:t>
      </w:r>
      <w:r>
        <w:rPr>
          <w:i/>
          <w:iCs/>
        </w:rPr>
        <w:t xml:space="preserve">n</w:t>
      </w:r>
      <w:r>
        <w:t xml:space="preserve"> </w:t>
      </w:r>
      <w:r>
        <w:t xml:space="preserve">= 6) were only unstandardised, and 48.0% (42.8–53.2%,</w:t>
      </w:r>
      <w:r>
        <w:t xml:space="preserve"> </w:t>
      </w:r>
      <w:r>
        <w:rPr>
          <w:i/>
          <w:iCs/>
        </w:rPr>
        <w:t xml:space="preserve">n</w:t>
      </w:r>
      <w:r>
        <w:t xml:space="preserve"> </w:t>
      </w:r>
      <w:r>
        <w:t xml:space="preserve">= 168) were standardised. The striking discrepancy between effect-size reporting (53.7%) and effect-size CI reporting (7.7%) implies that, in the great majority of cases where a magnitude estimate is given, no quantification of its uncertainty accompanies it (</w:t>
      </w:r>
      <w:hyperlink w:anchor="tbl-summary-apa">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 w:name="tbl-summary-apa"/>
          <w:p>
            <w:pPr>
              <w:jc w:val="center"/>
            </w:pPr>
            <w:pPr>
              <w:jc w:val="left"/>
              <w:spacing w:before="200"/>
              <w:pStyle w:val="ImageCaption"/>
            </w:pPr>
            <w:r>
              <w:t xml:space="preserve">Table 2: Frequencies of observed reporting practices for the primary statistical result, with Wilson 95% confidence intervals (</w:t>
            </w:r>
            <w:r>
              <w:rPr>
                <w:i/>
                <w:iCs/>
              </w:rPr>
              <w:t xml:space="preserve">N</w:t>
            </w:r>
            <w:r>
              <w:t xml:space="preserve"> </w:t>
            </w:r>
            <w:r>
              <w:t xml:space="preserve">= 350 studies).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877"/>
              <w:gridCol w:w="3199"/>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Coded 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n/N (% [95% CI])</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Any statistics reported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347/350 (99.1% [97.5, 99.7])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p-values 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331/350 (94.6% [91.7, 96.5])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Test statistics reported (F or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139/350 (39.7% [34.7, 44.9])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Degrees of freedom 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101/350 (28.9% [24.4, 33.8])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Effect sizes (denominator =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both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14/350 (4.0% [2.4, 6.6])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162/350 (46.3% [41.1, 51.5])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168/350 (48.0% [42.8, 53.2])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unstandardised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6/350 (1.7% [0.8, 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Effect-size CIs (denominator =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323/350 (92.3% [89.0, 94.6])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13/350 (3.7% [2.2, 6.3])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yes, only for the unstandardised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14/350 (4.0% [2.4, 6.6])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Preregistration 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4/350 (1.1% [0.4, 2.9])</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Raw data shared (working link)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6/350 (1.7% [0.8, 3.7])</w:t>
                  </w:r>
                </w:p>
              </w:tc>
            </w:tr>
          </w:tbl>
          <w:bookmarkEnd w:id="19"/>
        </w:tc>
      </w:tr>
    </w:tbl>
    <w:bookmarkEnd w:id="20"/>
    <w:bookmarkStart w:id="22" w:name="Xe35cd763b86ba45290e59245d8043b1715a93df"/>
    <w:p>
      <w:pPr>
        <w:pStyle w:val="Heading3"/>
      </w:pPr>
      <w:r>
        <w:t xml:space="preserve">Aim 2:</w:t>
      </w:r>
      <w:r>
        <w:t xml:space="preserve"> </w:t>
      </w:r>
      <w:r>
        <w:rPr>
          <w:i/>
          <w:iCs/>
        </w:rPr>
        <w:t xml:space="preserve">p</w:t>
      </w:r>
      <w:r>
        <w:t xml:space="preserve">-value reproducibility in the manually coded subset</w:t>
      </w:r>
    </w:p>
    <w:p>
      <w:pPr>
        <w:pStyle w:val="FirstParagraph"/>
      </w:pPr>
      <w:r>
        <w:t xml:space="preserve">For 7 of the 350 studies we could not determine the main statistical test, and these were excluded from the reproducibility analysis. 66.3% (95% CI 61.2–71.0%,</w:t>
      </w:r>
      <w:r>
        <w:t xml:space="preserve"> </w:t>
      </w:r>
      <w:r>
        <w:rPr>
          <w:i/>
          <w:iCs/>
        </w:rPr>
        <w:t xml:space="preserve">n</w:t>
      </w:r>
      <w:r>
        <w:t xml:space="preserve"> </w:t>
      </w:r>
      <w:r>
        <w:t xml:space="preserve">= 232/350) reported an</w:t>
      </w:r>
      <w:r>
        <w:t xml:space="preserve"> </w:t>
      </w:r>
      <w:r>
        <w:rPr>
          <w:i/>
          <w:iCs/>
        </w:rPr>
        <w:t xml:space="preserve">F</w:t>
      </w:r>
      <w:r>
        <w:t xml:space="preserve">-test as the main effect of interest (interaction effects</w:t>
      </w:r>
      <w:r>
        <w:t xml:space="preserve"> </w:t>
      </w:r>
      <w:r>
        <w:rPr>
          <w:i/>
          <w:iCs/>
        </w:rPr>
        <w:t xml:space="preserve">n</w:t>
      </w:r>
      <w:r>
        <w:t xml:space="preserve"> </w:t>
      </w:r>
      <w:r>
        <w:t xml:space="preserve">= 119, main effects</w:t>
      </w:r>
      <w:r>
        <w:t xml:space="preserve"> </w:t>
      </w:r>
      <w:r>
        <w:rPr>
          <w:i/>
          <w:iCs/>
        </w:rPr>
        <w:t xml:space="preserve">n</w:t>
      </w:r>
      <w:r>
        <w:t xml:space="preserve"> </w:t>
      </w:r>
      <w:r>
        <w:t xml:space="preserve">= 113). We were able to determine the degrees of freedom (DF) for 31 of these studies that had not reported them, and combined with studies that had reported DF we generated a</w:t>
      </w:r>
      <w:r>
        <w:t xml:space="preserve"> </w:t>
      </w:r>
      <w:r>
        <w:rPr>
          <w:i/>
          <w:iCs/>
        </w:rPr>
        <w:t xml:space="preserve">statcheck</w:t>
      </w:r>
      <w:r>
        <w:t xml:space="preserve"> </w:t>
      </w:r>
      <w:r>
        <w:t xml:space="preserve">report for 51.3% (44.9–57.7%,</w:t>
      </w:r>
      <w:r>
        <w:t xml:space="preserve"> </w:t>
      </w:r>
      <w:r>
        <w:rPr>
          <w:i/>
          <w:iCs/>
        </w:rPr>
        <w:t xml:space="preserve">n</w:t>
      </w:r>
      <w:r>
        <w:t xml:space="preserve"> </w:t>
      </w:r>
      <w:r>
        <w:t xml:space="preserve">= 119/232) of the</w:t>
      </w:r>
      <w:r>
        <w:t xml:space="preserve"> </w:t>
      </w:r>
      <w:r>
        <w:rPr>
          <w:i/>
          <w:iCs/>
        </w:rPr>
        <w:t xml:space="preserve">F</w:t>
      </w:r>
      <w:r>
        <w:t xml:space="preserve">-tests. The reproducibility classifications for these 119</w:t>
      </w:r>
      <w:r>
        <w:t xml:space="preserve"> </w:t>
      </w:r>
      <w:r>
        <w:rPr>
          <w:i/>
          <w:iCs/>
        </w:rPr>
        <w:t xml:space="preserve">F</w:t>
      </w:r>
      <w:r>
        <w:t xml:space="preserve">-tests are shown in</w:t>
      </w:r>
      <w:r>
        <w:t xml:space="preserve"> </w:t>
      </w:r>
      <w:hyperlink w:anchor="tbl-frep">
        <w:r>
          <w:rPr>
            <w:rStyle w:val="Hyperlink"/>
          </w:rPr>
          <w:t xml:space="preserve">Table 3</w:t>
        </w:r>
      </w:hyperlink>
      <w:r>
        <w:t xml:space="preserve">.</w:t>
      </w:r>
    </w:p>
    <w:p>
      <w:pPr>
        <w:pStyle w:val="BodyText"/>
      </w:pPr>
      <w:r>
        <w:t xml:space="preserve">31.7% (27.1–36.8%,</w:t>
      </w:r>
      <w:r>
        <w:t xml:space="preserve"> </w:t>
      </w:r>
      <w:r>
        <w:rPr>
          <w:i/>
          <w:iCs/>
        </w:rPr>
        <w:t xml:space="preserve">n</w:t>
      </w:r>
      <w:r>
        <w:t xml:space="preserve"> </w:t>
      </w:r>
      <w:r>
        <w:t xml:space="preserve">= 111/350) of studies reported a difference of means as the main effect of interest. We were able to determine the missing DF for 4 of these studies, giving 13 checkable tests when combined with the 9 that had already reported DF: 12</w:t>
      </w:r>
      <w:r>
        <w:t xml:space="preserve"> </w:t>
      </w:r>
      <w:r>
        <w:rPr>
          <w:i/>
          <w:iCs/>
        </w:rPr>
        <w:t xml:space="preserve">t</w:t>
      </w:r>
      <w:r>
        <w:t xml:space="preserve">-tests, equivalent to 10.8% (6.3–18.0%,</w:t>
      </w:r>
      <w:r>
        <w:t xml:space="preserve"> </w:t>
      </w:r>
      <w:r>
        <w:rPr>
          <w:i/>
          <w:iCs/>
        </w:rPr>
        <w:t xml:space="preserve">n</w:t>
      </w:r>
      <w:r>
        <w:t xml:space="preserve"> </w:t>
      </w:r>
      <w:r>
        <w:t xml:space="preserve">= 12/111) of the</w:t>
      </w:r>
      <w:r>
        <w:t xml:space="preserve"> </w:t>
      </w:r>
      <w:r>
        <w:rPr>
          <w:i/>
          <w:iCs/>
        </w:rPr>
        <w:t xml:space="preserve">t</w:t>
      </w:r>
      <w:r>
        <w:t xml:space="preserve">-test studies, plus 1 Wilcoxon signed-ranks test. All 12</w:t>
      </w:r>
      <w:r>
        <w:t xml:space="preserve"> </w:t>
      </w:r>
      <w:r>
        <w:rPr>
          <w:i/>
          <w:iCs/>
        </w:rPr>
        <w:t xml:space="preserve">t</w:t>
      </w:r>
      <w:r>
        <w:t xml:space="preserve">-tests made the correct statistical decision (0 decision errors). Of these 12, 1 (8.3%, 1.5–35.4%) was incorrectly rounded; the remaining 11 were either directly reproduced or not-reproduced-but-compatible. The Wilcoxon signed-ranks test was also reproduced.</w:t>
      </w:r>
    </w:p>
    <w:tbl>
      <w:tblPr>
        <w:tblStyle w:val="Table"/>
        <w:tblW w:type="pct" w:w="5000"/>
        <w:tblLayout w:type="fixed"/>
        <w:tblLook w:firstRow="0" w:lastRow="0" w:firstColumn="0" w:lastColumn="0" w:noHBand="0" w:noVBand="0" w:val="0000"/>
      </w:tblPr>
      <w:tblGrid>
        <w:gridCol w:w="7920"/>
      </w:tblGrid>
      <w:tr>
        <w:tc>
          <w:tcPr/>
          <w:bookmarkStart w:id="21" w:name="tbl-frep"/>
          <w:p>
            <w:pPr>
              <w:jc w:val="center"/>
            </w:pPr>
            <w:pPr>
              <w:jc w:val="left"/>
              <w:spacing w:before="200"/>
              <w:pStyle w:val="ImageCaption"/>
            </w:pPr>
            <w:r>
              <w:t xml:space="preserve">Table 3: Reproducibility classification for the 119</w:t>
            </w:r>
            <w:r>
              <w:t xml:space="preserve"> </w:t>
            </w:r>
            <w:r>
              <w:rPr>
                <w:i/>
                <w:iCs/>
              </w:rPr>
              <w:t xml:space="preserve">F</w:t>
            </w:r>
            <w:r>
              <w:t xml:space="preserve">-tests in the manually coded subset (Wilson 95% CIs).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19"/>
              <w:gridCol w:w="778"/>
              <w:gridCol w:w="961"/>
              <w:gridCol w:w="1512"/>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Reproducibility classification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 CI</w:t>
                  </w:r>
                </w:p>
              </w:tc>
            </w:tr>
            <w:tr>
              <w:trPr>
                <w:trHeight w:val="61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Reproduced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[57.5, 74.2]</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 reproduced but compatible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[19.0, 34.6]</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Incorrectly rounded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 11.6]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Incompatible (decision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 5.9]</w:t>
                  </w:r>
                </w:p>
              </w:tc>
            </w:tr>
            <w:tr>
              <w:trPr>
                <w:trHeight w:val="57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bl>
          <w:bookmarkEnd w:id="21"/>
        </w:tc>
      </w:tr>
    </w:tbl>
    <w:bookmarkEnd w:id="22"/>
    <w:bookmarkStart w:id="23" w:name="aim-3-data-sharing"/>
    <w:p>
      <w:pPr>
        <w:pStyle w:val="Heading3"/>
      </w:pPr>
      <w:r>
        <w:t xml:space="preserve">Aim 3: Data sharing</w:t>
      </w:r>
    </w:p>
    <w:p>
      <w:pPr>
        <w:pStyle w:val="FirstParagraph"/>
      </w:pPr>
      <w:r>
        <w:t xml:space="preserve">1.7% (95% CI 0.8–3.7%,</w:t>
      </w:r>
      <w:r>
        <w:t xml:space="preserve"> </w:t>
      </w:r>
      <w:r>
        <w:rPr>
          <w:i/>
          <w:iCs/>
        </w:rPr>
        <w:t xml:space="preserve">n</w:t>
      </w:r>
      <w:r>
        <w:t xml:space="preserve"> </w:t>
      </w:r>
      <w:r>
        <w:t xml:space="preserve">= 6/350) of studies included a working data-sharing link. We confirmed that all 6 links resolved to accessible data files. Because preregistration was also a planned coding item (</w:t>
      </w:r>
      <w:hyperlink w:anchor="tbl-checklist">
        <w:r>
          <w:rPr>
            <w:rStyle w:val="Hyperlink"/>
          </w:rPr>
          <w:t xml:space="preserve">Table 1</w:t>
        </w:r>
      </w:hyperlink>
      <w:r>
        <w:t xml:space="preserve">; item 8), we additionally report it here for completeness (see</w:t>
      </w:r>
      <w:r>
        <w:t xml:space="preserve"> </w:t>
      </w:r>
      <w:hyperlink w:anchor="tbl-summary-apa">
        <w:r>
          <w:rPr>
            <w:rStyle w:val="Hyperlink"/>
          </w:rPr>
          <w:t xml:space="preserve">Table 2</w:t>
        </w:r>
      </w:hyperlink>
      <w:r>
        <w:t xml:space="preserve">); this addresses an originally pre-registered aim and we therefore retain it despite its tangential relationship to the central reproducibility narrative.</w:t>
      </w:r>
    </w:p>
    <w:bookmarkEnd w:id="23"/>
    <w:bookmarkEnd w:id="24"/>
    <w:bookmarkStart w:id="25" w:name="X418d98ed9d4b04f04d2fc4a3a510c8f23656274"/>
    <w:p>
      <w:pPr>
        <w:pStyle w:val="Heading2"/>
      </w:pPr>
      <w:r>
        <w:t xml:space="preserve">Results part 2 - Automated Metacheck analysis (exploratory)</w:t>
      </w:r>
    </w:p>
    <w:p>
      <w:pPr>
        <w:pStyle w:val="FirstParagraph"/>
      </w:pPr>
      <w:r>
        <w:t xml:space="preserve">The Metacheck sweep covered 348 of the 350 articles (2 could not be converted from PDF to XML using GROBID). Note that these automated analyses also include the tests as were coded manually in Part 1.</w:t>
      </w:r>
    </w:p>
    <w:p>
      <w:pPr>
        <w:pStyle w:val="BodyText"/>
      </w:pPr>
      <w:r>
        <w:t xml:space="preserve">We extracted 5804</w:t>
      </w:r>
      <w:r>
        <w:t xml:space="preserve"> </w:t>
      </w:r>
      <w:r>
        <w:rPr>
          <w:i/>
          <w:iCs/>
        </w:rPr>
        <w:t xml:space="preserve">p</w:t>
      </w:r>
      <w:r>
        <w:t xml:space="preserve">-values from the results sections of the 348 papers retained for the automated analysis. Of these, 376 non-significant</w:t>
      </w:r>
      <w:r>
        <w:t xml:space="preserve"> </w:t>
      </w:r>
      <w:r>
        <w:rPr>
          <w:i/>
          <w:iCs/>
        </w:rPr>
        <w:t xml:space="preserve">p</w:t>
      </w:r>
      <w:r>
        <w:t xml:space="preserve">-values were reported imprecisely (as</w:t>
      </w:r>
      <w:r>
        <w:t xml:space="preserve"> </w:t>
      </w:r>
      <w:r>
        <w:rPr>
          <w:i/>
          <w:iCs/>
        </w:rPr>
        <w:t xml:space="preserve">p</w:t>
      </w:r>
      <w:r>
        <w:t xml:space="preserve"> </w:t>
      </w:r>
      <w:r>
        <w:t xml:space="preserve">&gt; .05 or</w:t>
      </w:r>
      <w:r>
        <w:t xml:space="preserve"> </w:t>
      </w:r>
      <w:r>
        <w:rPr>
          <w:i/>
          <w:iCs/>
        </w:rPr>
        <w:t xml:space="preserve">p</w:t>
      </w:r>
      <w:r>
        <w:t xml:space="preserve"> </w:t>
      </w:r>
      <w:r>
        <w:t xml:space="preserve">≥ .05) and 1977 significant</w:t>
      </w:r>
      <w:r>
        <w:t xml:space="preserve"> </w:t>
      </w:r>
      <w:r>
        <w:rPr>
          <w:i/>
          <w:iCs/>
        </w:rPr>
        <w:t xml:space="preserve">p</w:t>
      </w:r>
      <w:r>
        <w:t xml:space="preserve">-values were reported imprecisely (as</w:t>
      </w:r>
      <w:r>
        <w:t xml:space="preserve"> </w:t>
      </w:r>
      <w:r>
        <w:rPr>
          <w:i/>
          <w:iCs/>
        </w:rPr>
        <w:t xml:space="preserve">p</w:t>
      </w:r>
      <w:r>
        <w:t xml:space="preserve"> </w:t>
      </w:r>
      <w:r>
        <w:t xml:space="preserve">&lt; .05 or</w:t>
      </w:r>
      <w:r>
        <w:t xml:space="preserve"> </w:t>
      </w:r>
      <w:r>
        <w:rPr>
          <w:i/>
          <w:iCs/>
        </w:rPr>
        <w:t xml:space="preserve">p</w:t>
      </w:r>
      <w:r>
        <w:t xml:space="preserve"> </w:t>
      </w:r>
      <w:r>
        <w:t xml:space="preserve">≤ .05). We excluded</w:t>
      </w:r>
      <w:r>
        <w:t xml:space="preserve"> </w:t>
      </w:r>
      <w:r>
        <w:t xml:space="preserve">“</w:t>
      </w:r>
      <w:r>
        <w:rPr>
          <w:i/>
          <w:iCs/>
        </w:rPr>
        <w:t xml:space="preserve">p</w:t>
      </w:r>
      <w:r>
        <w:t xml:space="preserve"> </w:t>
      </w:r>
      <w:r>
        <w:t xml:space="preserve">&lt; .001”</w:t>
      </w:r>
      <w:r>
        <w:t xml:space="preserve"> </w:t>
      </w:r>
      <w:r>
        <w:t xml:space="preserve">and</w:t>
      </w:r>
      <w:r>
        <w:t xml:space="preserve"> </w:t>
      </w:r>
      <w:r>
        <w:t xml:space="preserve">“</w:t>
      </w:r>
      <w:r>
        <w:rPr>
          <w:i/>
          <w:iCs/>
        </w:rPr>
        <w:t xml:space="preserve">p</w:t>
      </w:r>
      <w:r>
        <w:t xml:space="preserve"> </w:t>
      </w:r>
      <w:r>
        <w:t xml:space="preserve">≤ .001”</w:t>
      </w:r>
      <w:r>
        <w:t xml:space="preserve">, which although imprecise, are reported in line with reporting guidelines. We thus conclude the manuscripts contained 1220 imprecise significant</w:t>
      </w:r>
      <w:r>
        <w:t xml:space="preserve"> </w:t>
      </w:r>
      <w:r>
        <w:rPr>
          <w:i/>
          <w:iCs/>
        </w:rPr>
        <w:t xml:space="preserve">p</w:t>
      </w:r>
      <w:r>
        <w:t xml:space="preserve">-values that could in principle have been reported exactly.</w:t>
      </w:r>
    </w:p>
    <w:p>
      <w:pPr>
        <w:pStyle w:val="BodyText"/>
      </w:pPr>
      <w:r>
        <w:t xml:space="preserve">Of 616</w:t>
      </w:r>
      <w:r>
        <w:t xml:space="preserve"> </w:t>
      </w:r>
      <w:r>
        <w:rPr>
          <w:i/>
          <w:iCs/>
        </w:rPr>
        <w:t xml:space="preserve">F</w:t>
      </w:r>
      <w:r>
        <w:t xml:space="preserve">-tests identified by Metacheck, 333 were accompanied by a standardised effect size (54.1%). Of 147</w:t>
      </w:r>
      <w:r>
        <w:t xml:space="preserve"> </w:t>
      </w:r>
      <w:r>
        <w:rPr>
          <w:i/>
          <w:iCs/>
        </w:rPr>
        <w:t xml:space="preserve">t</w:t>
      </w:r>
      <w:r>
        <w:t xml:space="preserve">-tests, 85 were accompanied by a standardised effect size (57.8%). These percentages are similar to the results from the manual coding in Part 1 (53.7%). Reporting an effect size did not guarantee that it could be verified: of the 418</w:t>
      </w:r>
      <w:r>
        <w:t xml:space="preserve"> </w:t>
      </w:r>
      <w:r>
        <w:rPr>
          <w:i/>
          <w:iCs/>
        </w:rPr>
        <w:t xml:space="preserve">t</w:t>
      </w:r>
      <w:r>
        <w:t xml:space="preserve">- and</w:t>
      </w:r>
      <w:r>
        <w:t xml:space="preserve"> </w:t>
      </w:r>
      <w:r>
        <w:rPr>
          <w:i/>
          <w:iCs/>
        </w:rPr>
        <w:t xml:space="preserve">F</w:t>
      </w:r>
      <w:r>
        <w:t xml:space="preserve">-tests that reported a standardised effect size, 150 (35.9%) could not be checked against the reported test statistic, in most cases (</w:t>
      </w:r>
      <w:r>
        <w:rPr>
          <w:i/>
          <w:iCs/>
        </w:rPr>
        <w:t xml:space="preserve">n</w:t>
      </w:r>
      <w:r>
        <w:t xml:space="preserve"> </w:t>
      </w:r>
      <w:r>
        <w:t xml:space="preserve">= 122) because the metric was ambiguous or could not be reconstructed from the test statistic and its degrees of freedom (e.g., η² reported for a factorial or repeated-measures design). We do not report a verification rate for the remainder, as agreement between a reported effect size and the test statistic does not establish that the value was correct for the design actually used.</w:t>
      </w:r>
    </w:p>
    <w:p>
      <w:pPr>
        <w:pStyle w:val="BodyText"/>
      </w:pPr>
      <w:r>
        <w:t xml:space="preserve">As an approximate estimate of confidence-interval reporting, we searched article full-texts for the strings</w:t>
      </w:r>
      <w:r>
        <w:t xml:space="preserve"> </w:t>
      </w:r>
      <w:r>
        <w:t xml:space="preserve">“95% CI”</w:t>
      </w:r>
      <w:r>
        <w:t xml:space="preserve"> </w:t>
      </w:r>
      <w:r>
        <w:t xml:space="preserve">or</w:t>
      </w:r>
      <w:r>
        <w:t xml:space="preserve"> </w:t>
      </w:r>
      <w:r>
        <w:t xml:space="preserve">“95% confidence interval”</w:t>
      </w:r>
      <w:r>
        <w:t xml:space="preserve">. 117 of 348 papers (33.6%) contained at least one such mention. This is a coarse instrument which may inflate proportions by mentions in the methods but not results, and should be interpreted alongside the manual-coding estimate of effect-size CI reporting (7.7%).</w:t>
      </w:r>
    </w:p>
    <w:p>
      <w:pPr>
        <w:pStyle w:val="BodyText"/>
      </w:pPr>
      <w:r>
        <w:t xml:space="preserve">The Statcheck module completed 820 statistical tests. Of these, 720 were</w:t>
      </w:r>
      <w:r>
        <w:t xml:space="preserve"> </w:t>
      </w:r>
      <w:r>
        <w:rPr>
          <w:i/>
          <w:iCs/>
        </w:rPr>
        <w:t xml:space="preserve">F</w:t>
      </w:r>
      <w:r>
        <w:t xml:space="preserve">-tests and 100 were</w:t>
      </w:r>
      <w:r>
        <w:t xml:space="preserve"> </w:t>
      </w:r>
      <w:r>
        <w:rPr>
          <w:i/>
          <w:iCs/>
        </w:rPr>
        <w:t xml:space="preserve">t</w:t>
      </w:r>
      <w:r>
        <w:t xml:space="preserve">-tests. A total of 162 reporting errors were identified, corresponding to 19.8% of all tests. When a more conservative criterion was applied (counting only errors greater than one decimal place), the number of errors decreased to 30 (3.7%).</w:t>
      </w:r>
    </w:p>
    <w:p>
      <w:pPr>
        <w:pStyle w:val="BodyText"/>
      </w:pPr>
      <w:r>
        <w:t xml:space="preserve">In total, 6 decision errors were observed, representing 0.7% of all tests. When we specifically investigated these 6 reported errors, all had been extracted correctly from the source articles rather than introduced by PDF conversion, although in only two could we determine which reported value was in error.</w:t>
      </w:r>
    </w:p>
    <w:bookmarkEnd w:id="25"/>
    <w:bookmarkEnd w:id="26"/>
    <w:bookmarkStart w:id="27" w:name="discussion"/>
    <w:p>
      <w:pPr>
        <w:pStyle w:val="Heading1"/>
      </w:pPr>
      <w:r>
        <w:t xml:space="preserve">Discussion</w:t>
      </w:r>
    </w:p>
    <w:p>
      <w:pPr>
        <w:pStyle w:val="FirstParagraph"/>
      </w:pPr>
      <w:r>
        <w:t xml:space="preserve">The implications of these findings are important for our discipline, a field heavily reliant on statistical inference via null hypothesis significance tests (NHST). First, accurate reporting of inferential statistics is foundational to the interpretation and reuse of findings. Inadequate reporting of test statistics, degrees of freedom, and confidence intervals undermines reproducibility and limits the scope for verification</w:t>
      </w:r>
      <w:r>
        <w:t xml:space="preserve"> </w:t>
      </w:r>
      <w:r>
        <w:t xml:space="preserve">(Errington et al., 2017; Nuijten et al., 2016)</w:t>
      </w:r>
      <w:r>
        <w:t xml:space="preserve">. Moreover, without standardized effect sizes and intervals of uncertainty, it is nearly impossible to assess the magnitude and precision of effects, impeding efforts to evaluate practical relevance or aggregate data across studies. Critically, the substantial proportion of missing or incomplete statistical information observed here represents a direct threat to the cumulative nature of the science, as it restricts the inclusion of studies in meta-analyses and limits the ability to build reliable, generalizable knowledge.There appears to be a deficit in the awareness of researchers, peer reviewers and journals as to why the reporting of this information is so important for cumulative science.</w:t>
      </w:r>
    </w:p>
    <w:p>
      <w:pPr>
        <w:pStyle w:val="BodyText"/>
      </w:pPr>
      <w:r>
        <w:t xml:space="preserve">Second, the near absence of data sharing signals a critical absence of transparency in the research method of our field. This has been observed previously, when</w:t>
      </w:r>
      <w:r>
        <w:t xml:space="preserve"> </w:t>
      </w:r>
      <w:r>
        <w:t xml:space="preserve">Twomey et al. (2021)</w:t>
      </w:r>
      <w:r>
        <w:t xml:space="preserve"> </w:t>
      </w:r>
      <w:r>
        <w:t xml:space="preserve">previously found that just 0.67% of SES studies shared data, and our previous work identified a 0% data sharing rate</w:t>
      </w:r>
      <w:r>
        <w:t xml:space="preserve"> </w:t>
      </w:r>
      <w:r>
        <w:t xml:space="preserve">(Mesquida et al., 2023)</w:t>
      </w:r>
      <w:r>
        <w:t xml:space="preserve"> </w:t>
      </w:r>
      <w:r>
        <w:t xml:space="preserve">- figures essentially replicated in this sample. Further,</w:t>
      </w:r>
      <w:r>
        <w:t xml:space="preserve"> </w:t>
      </w:r>
      <w:r>
        <w:t xml:space="preserve">Borg et al. (2020)</w:t>
      </w:r>
      <w:r>
        <w:t xml:space="preserve"> </w:t>
      </w:r>
      <w:r>
        <w:t xml:space="preserve">found that only 4.3% shared their data and/or code in a comparable audit. These findings are similar to some other fields, such as biomedical sciences</w:t>
      </w:r>
      <w:r>
        <w:t xml:space="preserve"> </w:t>
      </w:r>
      <w:r>
        <w:t xml:space="preserve">(Germaine et al., 2024)</w:t>
      </w:r>
      <w:r>
        <w:t xml:space="preserve">, but much lower than in other fields, such as economics, and psychology, where the prevalence of open-data and other reproducibility-related practices is markedly higher</w:t>
      </w:r>
      <w:r>
        <w:t xml:space="preserve"> </w:t>
      </w:r>
      <w:r>
        <w:t xml:space="preserve">(Ferguson et al., 2023; Hardwicke et al., 2022)</w:t>
      </w:r>
      <w:r>
        <w:t xml:space="preserve">. Field-specific commentaries have for some time called for SES to adopt more transparent research practices</w:t>
      </w:r>
      <w:r>
        <w:t xml:space="preserve"> </w:t>
      </w:r>
      <w:r>
        <w:t xml:space="preserve">(Caldwell et al., 2020)</w:t>
      </w:r>
      <w:r>
        <w:t xml:space="preserve">. Whilst there are valid cases in which data cannot be shared, such as personal medical data, authors still have options to protect privacy without sacrificing transparency. One approach is the use of synthetic data, which allows researchers to simulate datasets in ways that control the degrees of resemblance to the original data while limiting the disclosure of informative information (data protection -</w:t>
      </w:r>
      <w:r>
        <w:t xml:space="preserve"> </w:t>
      </w:r>
      <w:r>
        <w:t xml:space="preserve">Borg et al. (2020)</w:t>
      </w:r>
      <w:r>
        <w:t xml:space="preserve"> </w:t>
      </w:r>
      <w:r>
        <w:t xml:space="preserve">and synthetic data -</w:t>
      </w:r>
      <w:r>
        <w:t xml:space="preserve"> </w:t>
      </w:r>
      <w:r>
        <w:t xml:space="preserve">Giuffrè and Shung (2023)</w:t>
      </w:r>
      <w:r>
        <w:t xml:space="preserve">). However, we do believe that this sensitive data represents the minority of SES research and instead the lack of data sharing represents a systemic lack of transparency and openness to falsification in our field. Finally, the lack of data sharing raises concerns about selective reporting, and p-hacking</w:t>
      </w:r>
      <w:r>
        <w:t xml:space="preserve"> </w:t>
      </w:r>
      <w:r>
        <w:t xml:space="preserve">(Wicherts et al., 2016; Wicherts et al., 2011)</w:t>
      </w:r>
      <w:r>
        <w:t xml:space="preserve"> </w:t>
      </w:r>
      <w:r>
        <w:t xml:space="preserve">which should be investigated further given the presence of publication bias in our published literature</w:t>
      </w:r>
      <w:r>
        <w:t xml:space="preserve"> </w:t>
      </w:r>
      <w:r>
        <w:t xml:space="preserve">(Borg et al., 2023; Mesquida et al., 2023)</w:t>
      </w:r>
      <w:r>
        <w:t xml:space="preserve">. In order for the sharing of code and data to become a normal part of the scientific process, there needs to be a culture shift toward self-correction and a normalization of scientific errors</w:t>
      </w:r>
      <w:r>
        <w:t xml:space="preserve"> </w:t>
      </w:r>
      <w:r>
        <w:t xml:space="preserve">(Frank et al., 2026)</w:t>
      </w:r>
      <w:r>
        <w:t xml:space="preserve">. There is an important role for journals here to raise the bar in transparency, and data and code sharing - when ethically possible - should become the default in all high-quality journals in our field.</w:t>
      </w:r>
    </w:p>
    <w:p>
      <w:pPr>
        <w:pStyle w:val="BodyText"/>
      </w:pPr>
      <w:r>
        <w:t xml:space="preserve">Despite a successful reproducibility check of the 132 studies for which it was possible, the poor reporting quality of the original sample must be acknowledged. Just over one-third of studies provided sufficient information for</w:t>
      </w:r>
      <w:r>
        <w:t xml:space="preserve"> </w:t>
      </w:r>
      <w:r>
        <w:rPr>
          <w:i/>
          <w:iCs/>
        </w:rPr>
        <w:t xml:space="preserve">p</w:t>
      </w:r>
      <w:r>
        <w:t xml:space="preserve">-value reproducibility checks, and 35 of those still required us to manually determine the degrees of freedom. This is also a risk of bias - we cannot evaluate if the studies that do report all critical test statistics are more reproducible than those that do not report these metrics, although</w:t>
      </w:r>
      <w:r>
        <w:t xml:space="preserve"> </w:t>
      </w:r>
      <w:r>
        <w:t xml:space="preserve">Wicherts et al. (2011)</w:t>
      </w:r>
      <w:r>
        <w:t xml:space="preserve"> </w:t>
      </w:r>
      <w:r>
        <w:t xml:space="preserve">suggested the lack of data sharing was associated with weaker evidence, as well as a higher proportion of statistical reporting errors, in 1148 results across 49 research papers in psychology.</w:t>
      </w:r>
    </w:p>
    <w:p>
      <w:pPr>
        <w:pStyle w:val="BodyText"/>
      </w:pPr>
      <w:r>
        <w:t xml:space="preserve">The automated analysis via Metacheck, which examined all</w:t>
      </w:r>
      <w:r>
        <w:t xml:space="preserve"> </w:t>
      </w:r>
      <w:r>
        <w:rPr>
          <w:i/>
          <w:iCs/>
        </w:rPr>
        <w:t xml:space="preserve">F</w:t>
      </w:r>
      <w:r>
        <w:t xml:space="preserve">- and</w:t>
      </w:r>
      <w:r>
        <w:t xml:space="preserve"> </w:t>
      </w:r>
      <w:r>
        <w:rPr>
          <w:i/>
          <w:iCs/>
        </w:rPr>
        <w:t xml:space="preserve">t</w:t>
      </w:r>
      <w:r>
        <w:t xml:space="preserve">-tests across the 348 convertible articles, extended the findings from the manually coded subset. A substantial proportion of significant</w:t>
      </w:r>
      <w:r>
        <w:t xml:space="preserve"> </w:t>
      </w:r>
      <w:r>
        <w:rPr>
          <w:i/>
          <w:iCs/>
        </w:rPr>
        <w:t xml:space="preserve">p</w:t>
      </w:r>
      <w:r>
        <w:t xml:space="preserve">-values were reported imprecisely (e.g., as</w:t>
      </w:r>
      <w:r>
        <w:t xml:space="preserve"> </w:t>
      </w:r>
      <w:r>
        <w:rPr>
          <w:i/>
          <w:iCs/>
        </w:rPr>
        <w:t xml:space="preserve">p</w:t>
      </w:r>
      <w:r>
        <w:t xml:space="preserve"> </w:t>
      </w:r>
      <w:r>
        <w:t xml:space="preserve">&lt; .05 rather than an exact value), a practice that prevents readers from evaluating the precise strength of evidence and is inconsistent with current reporting standards [APA JARS;</w:t>
      </w:r>
      <w:r>
        <w:t xml:space="preserve"> </w:t>
      </w:r>
      <w:r>
        <w:t xml:space="preserve">Appelbaum et al. (2018)</w:t>
      </w:r>
      <w:r>
        <w:t xml:space="preserve">] and with calls to move beyond a binary</w:t>
      </w:r>
      <w:r>
        <w:t xml:space="preserve"> </w:t>
      </w:r>
      <w:r>
        <w:rPr>
          <w:i/>
          <w:iCs/>
        </w:rPr>
        <w:t xml:space="preserve">p</w:t>
      </w:r>
      <w:r>
        <w:t xml:space="preserve"> </w:t>
      </w:r>
      <w:r>
        <w:t xml:space="preserve">&lt; .05 framing</w:t>
      </w:r>
      <w:r>
        <w:t xml:space="preserve"> </w:t>
      </w:r>
      <w:r>
        <w:t xml:space="preserve">(Amrhein et al., 2019; Wasserstein et al., 2019)</w:t>
      </w:r>
      <w:r>
        <w:t xml:space="preserve">. Standardised effect sizes accompanied 54.1% of the</w:t>
      </w:r>
      <w:r>
        <w:t xml:space="preserve"> </w:t>
      </w:r>
      <w:r>
        <w:rPr>
          <w:i/>
          <w:iCs/>
        </w:rPr>
        <w:t xml:space="preserve">F</w:t>
      </w:r>
      <w:r>
        <w:t xml:space="preserve">-tests and 57.8% of the</w:t>
      </w:r>
      <w:r>
        <w:t xml:space="preserve"> </w:t>
      </w:r>
      <w:r>
        <w:rPr>
          <w:i/>
          <w:iCs/>
        </w:rPr>
        <w:t xml:space="preserve">t</w:t>
      </w:r>
      <w:r>
        <w:t xml:space="preserve">-tests identified, closely matching the 53.7% of studies that reported an effect size in the manual coding. Effect size reporting is therefore no longer the exception in applied SES; the persistent gap is the uncertainty around those estimates, with only 7.7% of studies reporting a confidence interval for the effect of interest. Reporting an effect size is also necessary but not sufficient: for 35.9% of the effect sizes we identified, the metric was too ambiguous to be checked against the test statistic, or to be pooled reliably in a meta-analysis. The broader statcheck sweep flagged 162 of 820 recomputed tests as inconsistent (19.8%), of which 6 (0.7%) changed the statistical decision. These rates are not directly comparable with the manually coded subset, in which 40 of the 119</w:t>
      </w:r>
      <w:r>
        <w:t xml:space="preserve"> </w:t>
      </w:r>
      <w:r>
        <w:rPr>
          <w:i/>
          <w:iCs/>
        </w:rPr>
        <w:t xml:space="preserve">F</w:t>
      </w:r>
      <w:r>
        <w:t xml:space="preserve">-tests (33.6%) departed in some way from the value we recomputed, because most of those departures reflect</w:t>
      </w:r>
      <w:r>
        <w:t xml:space="preserve"> </w:t>
      </w:r>
      <w:r>
        <w:rPr>
          <w:i/>
          <w:iCs/>
        </w:rPr>
        <w:t xml:space="preserve">p</w:t>
      </w:r>
      <w:r>
        <w:t xml:space="preserve">-values reported imprecisely rather than arithmetic error which is a category the automated sweep treats differently. Both analyses nonetheless point the same way: inconsistencies are common, outright decision errors are rare, suggesting that the conclusions of the pre-registered analysis are not an artefact of focusing on a single result per study. Together, these findings indicate that underreporting is a pervasive feature of statistical results across studies in this sample, not confined to any particular result type or study design.</w:t>
      </w:r>
    </w:p>
    <w:p>
      <w:pPr>
        <w:pStyle w:val="BodyText"/>
      </w:pPr>
      <w:r>
        <w:t xml:space="preserve">A limitation of this study was that whilst the coding protocol was carefully piloted and interrater reliability was addressed, some degree of subjectivity in identifying the primary statistical test of interest is unavoidable, especially given inconsistent or vague hypothesis statements. For the additional analysis, XML conversion via GROBID is not perfect (equations, special characters, and non-standard formatting may cause extraction errors, which could inflate or deflate apparent error rates and in particular may have affected the detection of confidence interval reporting). Moreover, the statcheck module relies on the presence of sufficient information to recompute p-values, and any errors in text extraction or formatting, together with the debated limitations of automated</w:t>
      </w:r>
      <w:r>
        <w:t xml:space="preserve"> </w:t>
      </w:r>
      <w:r>
        <w:rPr>
          <w:i/>
          <w:iCs/>
        </w:rPr>
        <w:t xml:space="preserve">p</w:t>
      </w:r>
      <w:r>
        <w:t xml:space="preserve">-checking when one-tailed tests, adjusted</w:t>
      </w:r>
      <w:r>
        <w:t xml:space="preserve"> </w:t>
      </w:r>
      <w:r>
        <w:rPr>
          <w:i/>
          <w:iCs/>
        </w:rPr>
        <w:t xml:space="preserve">p</w:t>
      </w:r>
      <w:r>
        <w:t xml:space="preserve">-values, or sphericity corrections are involved</w:t>
      </w:r>
      <w:r>
        <w:t xml:space="preserve"> </w:t>
      </w:r>
      <w:r>
        <w:t xml:space="preserve">(Nuijten et al., 2017; Schmidt, 2017)</w:t>
      </w:r>
      <w:r>
        <w:t xml:space="preserve">, could lead to misclassification of errors. This limitation is not hypothetical: neither of the</w:t>
      </w:r>
      <w:r>
        <w:t xml:space="preserve"> </w:t>
      </w:r>
      <w:r>
        <w:rPr>
          <w:rStyle w:val="VerbatimChar"/>
        </w:rPr>
        <w:t xml:space="preserve">2</w:t>
      </w:r>
      <w:r>
        <w:t xml:space="preserve"> </w:t>
      </w:r>
      <w:r>
        <w:t xml:space="preserve">decision errors identified in the manually coded subset was detected by the automated sweep, because both were printed without parenthesised degrees of freedom (e.g.,</w:t>
      </w:r>
      <w:r>
        <w:t xml:space="preserve"> </w:t>
      </w:r>
      <w:r>
        <w:t xml:space="preserve">“F2,44 = 3.098; P = .046”</w:t>
      </w:r>
      <w:r>
        <w:t xml:space="preserve">) and the manually coded statements had been re-formatted into APA style before</w:t>
      </w:r>
      <w:r>
        <w:t xml:space="preserve"> </w:t>
      </w:r>
      <w:r>
        <w:rPr>
          <w:i/>
          <w:iCs/>
        </w:rPr>
        <w:t xml:space="preserve">statcheck</w:t>
      </w:r>
      <w:r>
        <w:t xml:space="preserve"> </w:t>
      </w:r>
      <w:r>
        <w:t xml:space="preserve">was applied which the automated pipeline cannot perform. Automated screening is therefore least effective precisely where reporting is least complete, and the automated decision-error rate is better read as a lower bound than as an estimate of the true rate. Finally, the search for confidence interval reporting based on specific phrases is a blunt instrument that may miss instances where confidence intervals are reported without using these exact terms, or where they are reported in tables rather than text.</w:t>
      </w:r>
    </w:p>
    <w:p>
      <w:pPr>
        <w:pStyle w:val="BodyText"/>
      </w:pPr>
      <w:r>
        <w:t xml:space="preserve">In order to improve our research reporting in the future, we suggest the following:</w:t>
      </w:r>
    </w:p>
    <w:p>
      <w:pPr>
        <w:numPr>
          <w:ilvl w:val="0"/>
          <w:numId w:val="1001"/>
        </w:numPr>
      </w:pPr>
      <w:r>
        <w:rPr>
          <w:b/>
          <w:bCs/>
        </w:rPr>
        <w:t xml:space="preserve">Mandatory Reporting Guidelines:</w:t>
      </w:r>
      <w:r>
        <w:t xml:space="preserve"> </w:t>
      </w:r>
      <w:r>
        <w:t xml:space="preserve">Journals should enforce the use of standardized statistical reporting checklists, such as APA JARS</w:t>
      </w:r>
      <w:r>
        <w:t xml:space="preserve"> </w:t>
      </w:r>
      <w:r>
        <w:t xml:space="preserve">(Appelbaum et al., 2018)</w:t>
      </w:r>
      <w:r>
        <w:t xml:space="preserve">. All inferential statistics should include test statistics, degrees of freedom, exact</w:t>
      </w:r>
      <w:r>
        <w:t xml:space="preserve"> </w:t>
      </w:r>
      <w:r>
        <w:rPr>
          <w:i/>
          <w:iCs/>
        </w:rPr>
        <w:t xml:space="preserve">p</w:t>
      </w:r>
      <w:r>
        <w:t xml:space="preserve">-values,</w:t>
      </w:r>
      <w:r>
        <w:t xml:space="preserve"> </w:t>
      </w:r>
      <w:r>
        <w:rPr>
          <w:u w:val="single"/>
        </w:rPr>
        <w:t xml:space="preserve">(un)</w:t>
      </w:r>
      <w:r>
        <w:t xml:space="preserve">standardized effect sizes, and 95% confidence intervals of the effect size. This should include the use of reproducibility tools (e.g., statcheck, RMarkdown/Quarto, version control tools such as Github), which may reduce reporting errors and increase awareness of transparency standards.</w:t>
      </w:r>
    </w:p>
    <w:p>
      <w:pPr>
        <w:numPr>
          <w:ilvl w:val="0"/>
          <w:numId w:val="1001"/>
        </w:numPr>
      </w:pPr>
      <w:r>
        <w:rPr>
          <w:b/>
          <w:bCs/>
        </w:rPr>
        <w:t xml:space="preserve">Data Sharing and Open Materials:</w:t>
      </w:r>
      <w:r>
        <w:t xml:space="preserve"> </w:t>
      </w:r>
      <w:r>
        <w:t xml:space="preserve">Journals should adopt the Transparency and Openness Promotion (TOP) guidelines</w:t>
      </w:r>
      <w:r>
        <w:t xml:space="preserve"> </w:t>
      </w:r>
      <w:r>
        <w:t xml:space="preserve">(Nosek et al., 2015)</w:t>
      </w:r>
      <w:r>
        <w:t xml:space="preserve"> </w:t>
      </w:r>
      <w:r>
        <w:t xml:space="preserve">at a level that requires open data and code. Authors should deposit raw data and analysis scripts in public repositories (e.g., OSF, figshare, Zenodo) as a condition for publication, in line with the FAIR data principles</w:t>
      </w:r>
      <w:r>
        <w:t xml:space="preserve"> </w:t>
      </w:r>
      <w:r>
        <w:t xml:space="preserve">(</w:t>
      </w:r>
      <w:r>
        <w:t xml:space="preserve">Wilkinson et al.</w:t>
      </w:r>
      <w:r>
        <w:t xml:space="preserve">, 2016)</w:t>
      </w:r>
      <w:r>
        <w:t xml:space="preserve">. This is to enable reproduciblity checks, data interogation, and to enable meta-analystic techniques that rely on more than summary measures.</w:t>
      </w:r>
    </w:p>
    <w:p>
      <w:pPr>
        <w:pStyle w:val="FirstParagraph"/>
      </w:pPr>
      <w:r>
        <w:t xml:space="preserve">This study offers a description of sub-optimal statistical reporting and reproducibility practices in applied SES journals. While outright errors that reverse statistical conclusions seemed to be rare, the field is marked by widespread underreporting of critical statistical information and near-total absence of data sharing. These findings point to a persistent gap between best-practice recommendations and everyday research conduct. Encouragingly, when statistical data are reported,</w:t>
      </w:r>
      <w:r>
        <w:t xml:space="preserve"> </w:t>
      </w:r>
      <w:r>
        <w:rPr>
          <w:i/>
          <w:iCs/>
        </w:rPr>
        <w:t xml:space="preserve">p</w:t>
      </w:r>
      <w:r>
        <w:t xml:space="preserve">-values are largely reproducible. However, this is no cause for complacency. Without broader adoption of transparency measures - including full statistical reporting and the sharing of open data and analysis syntax, the field risks losing trust in its empirical foundations. Addressing these issues will require coordinated efforts across researchers, journals, funders, and institutions. We offer some suggestions for this, and if SES is to mature into a fully cumulative and self-correcting science, researchers must embrace open science as not merely an ideal but a professional obligation. The “reproducibility crisis”, while challenging, offers an unprecedented opportunity to reshape the standards of scientific integrity and accelerate the changed required to build a robust scientific culture.</w:t>
      </w:r>
    </w:p>
    <w:bookmarkEnd w:id="27"/>
    <w:bookmarkStart w:id="130" w:name="references"/>
    <w:p>
      <w:pPr>
        <w:pStyle w:val="Heading1"/>
      </w:pPr>
      <w:r>
        <w:t xml:space="preserve">References</w:t>
      </w:r>
    </w:p>
    <w:bookmarkStart w:id="129" w:name="refs"/>
    <w:bookmarkStart w:id="29" w:name="ref-quarto"/>
    <w:p>
      <w:pPr>
        <w:pStyle w:val="Bibliography"/>
      </w:pPr>
      <w:r>
        <w:t xml:space="preserve">Allaire, J., Dervieux, C., 2025. Quarto: R interface to ’quarto’ markdown publishing system.</w:t>
      </w:r>
      <w:r>
        <w:t xml:space="preserve"> </w:t>
      </w:r>
      <w:hyperlink r:id="rId28">
        <w:r>
          <w:rPr>
            <w:rStyle w:val="Hyperlink"/>
          </w:rPr>
          <w:t xml:space="preserve">https://doi.org/10.32614/CRAN.package.quarto</w:t>
        </w:r>
      </w:hyperlink>
    </w:p>
    <w:bookmarkEnd w:id="29"/>
    <w:bookmarkStart w:id="31" w:name="ref-amrhein_retire_2019"/>
    <w:p>
      <w:pPr>
        <w:pStyle w:val="Bibliography"/>
      </w:pPr>
      <w:r>
        <w:t xml:space="preserve">Amrhein, V., Greenland, S., McShane, B., 2019. Scientists rise up against statistical significance. Nature 567, 305–307.</w:t>
      </w:r>
      <w:r>
        <w:t xml:space="preserve"> </w:t>
      </w:r>
      <w:hyperlink r:id="rId30">
        <w:r>
          <w:rPr>
            <w:rStyle w:val="Hyperlink"/>
          </w:rPr>
          <w:t xml:space="preserve">https://doi.org/10.1038/d41586-019-00857-9</w:t>
        </w:r>
      </w:hyperlink>
    </w:p>
    <w:bookmarkEnd w:id="31"/>
    <w:bookmarkStart w:id="33" w:name="ref-anderson_theres_2016"/>
    <w:p>
      <w:pPr>
        <w:pStyle w:val="Bibliography"/>
      </w:pPr>
      <w:r>
        <w:t xml:space="preserve">Anderson, S.F., Maxwell, S.E., 2016. There’s more than one way to conduct a replication study:</w:t>
      </w:r>
      <w:r>
        <w:t xml:space="preserve"> </w:t>
      </w:r>
      <w:r>
        <w:t xml:space="preserve">Beyond</w:t>
      </w:r>
      <w:r>
        <w:t xml:space="preserve"> </w:t>
      </w:r>
      <w:r>
        <w:t xml:space="preserve">statistical significance. Psychological Methods 21, 1–12.</w:t>
      </w:r>
      <w:r>
        <w:t xml:space="preserve"> </w:t>
      </w:r>
      <w:hyperlink r:id="rId32">
        <w:r>
          <w:rPr>
            <w:rStyle w:val="Hyperlink"/>
          </w:rPr>
          <w:t xml:space="preserve">https://doi.org/10.1037/met0000051</w:t>
        </w:r>
      </w:hyperlink>
    </w:p>
    <w:bookmarkEnd w:id="33"/>
    <w:bookmarkStart w:id="35" w:name="ref-appelbaum_journal_2018"/>
    <w:p>
      <w:pPr>
        <w:pStyle w:val="Bibliography"/>
      </w:pPr>
      <w:r>
        <w:t xml:space="preserve">Appelbaum, M., Cooper, H., Kline, R.B., Mayo-Wilson, E., Nezu, A.M., Rao, S.M., 2018. Journal article reporting standards for quantitative research in psychology:</w:t>
      </w:r>
      <w:r>
        <w:t xml:space="preserve"> </w:t>
      </w:r>
      <w:r>
        <w:t xml:space="preserve">The</w:t>
      </w:r>
      <w:r>
        <w:t xml:space="preserve"> </w:t>
      </w:r>
      <w:r>
        <w:t xml:space="preserve">APA</w:t>
      </w:r>
      <w:r>
        <w:t xml:space="preserve"> </w:t>
      </w:r>
      <w:r>
        <w:t xml:space="preserve">Publications</w:t>
      </w:r>
      <w:r>
        <w:t xml:space="preserve"> </w:t>
      </w:r>
      <w:r>
        <w:t xml:space="preserve">and</w:t>
      </w:r>
      <w:r>
        <w:t xml:space="preserve"> </w:t>
      </w:r>
      <w:r>
        <w:t xml:space="preserve">Communications</w:t>
      </w:r>
      <w:r>
        <w:t xml:space="preserve"> </w:t>
      </w:r>
      <w:r>
        <w:t xml:space="preserve">Board</w:t>
      </w:r>
      <w:r>
        <w:t xml:space="preserve"> </w:t>
      </w:r>
      <w:r>
        <w:t xml:space="preserve">task force report. American Psychologist 73, 3–25.</w:t>
      </w:r>
      <w:r>
        <w:t xml:space="preserve"> </w:t>
      </w:r>
      <w:hyperlink r:id="rId34">
        <w:r>
          <w:rPr>
            <w:rStyle w:val="Hyperlink"/>
          </w:rPr>
          <w:t xml:space="preserve">https://doi.org/10.1037/amp0000191</w:t>
        </w:r>
      </w:hyperlink>
    </w:p>
    <w:bookmarkEnd w:id="35"/>
    <w:bookmarkStart w:id="37" w:name="ref-bakker_misreporting_2011"/>
    <w:p>
      <w:pPr>
        <w:pStyle w:val="Bibliography"/>
      </w:pPr>
      <w:r>
        <w:t xml:space="preserve">Bakker, M., Wicherts, J.M., 2011. The (mis)reporting of statistical results in psychology journals. Behavior Research Methods 43, 666–678.</w:t>
      </w:r>
      <w:r>
        <w:t xml:space="preserve"> </w:t>
      </w:r>
      <w:hyperlink r:id="rId36">
        <w:r>
          <w:rPr>
            <w:rStyle w:val="Hyperlink"/>
          </w:rPr>
          <w:t xml:space="preserve">https://doi.org/10.3758/s13428-011-0089-5</w:t>
        </w:r>
      </w:hyperlink>
    </w:p>
    <w:bookmarkEnd w:id="37"/>
    <w:bookmarkStart w:id="39" w:name="ref-borg_bias_2023"/>
    <w:p>
      <w:pPr>
        <w:pStyle w:val="Bibliography"/>
      </w:pPr>
      <w:r>
        <w:t xml:space="preserve">Borg, D., Barnett, A.G., Caldwell, A.R., White, N.M., Stewart, I.B., 2023. The bias for statistical significance in sport and exercise medicine. Journal of Science and Medicine in Sport 26, 164–168.</w:t>
      </w:r>
      <w:r>
        <w:t xml:space="preserve"> </w:t>
      </w:r>
      <w:hyperlink r:id="rId38">
        <w:r>
          <w:rPr>
            <w:rStyle w:val="Hyperlink"/>
          </w:rPr>
          <w:t xml:space="preserve">https://doi.org/10.1016/j.jsams.2023.03.002</w:t>
        </w:r>
      </w:hyperlink>
    </w:p>
    <w:bookmarkEnd w:id="39"/>
    <w:bookmarkStart w:id="41" w:name="ref-borg_sharing_2020"/>
    <w:p>
      <w:pPr>
        <w:pStyle w:val="Bibliography"/>
      </w:pPr>
      <w:r>
        <w:t xml:space="preserve">Borg, D., Bon, J.J., Sainani, K., Baguley, B.J., Tierney, N.J., Drovandi, C., 2020. Sharing</w:t>
      </w:r>
      <w:r>
        <w:t xml:space="preserve"> </w:t>
      </w:r>
      <w:r>
        <w:t xml:space="preserve">Data</w:t>
      </w:r>
      <w:r>
        <w:t xml:space="preserve"> </w:t>
      </w:r>
      <w:r>
        <w:t xml:space="preserve">and</w:t>
      </w:r>
      <w:r>
        <w:t xml:space="preserve"> </w:t>
      </w:r>
      <w:r>
        <w:t xml:space="preserve">Code</w:t>
      </w:r>
      <w:r>
        <w:t xml:space="preserve">:</w:t>
      </w:r>
      <w:r>
        <w:t xml:space="preserve"> </w:t>
      </w:r>
      <w:r>
        <w:t xml:space="preserve">A</w:t>
      </w:r>
      <w:r>
        <w:t xml:space="preserve"> </w:t>
      </w:r>
      <w:r>
        <w:t xml:space="preserve">Comment</w:t>
      </w:r>
      <w:r>
        <w:t xml:space="preserve"> </w:t>
      </w:r>
      <w:r>
        <w:t xml:space="preserve">on the</w:t>
      </w:r>
      <w:r>
        <w:t xml:space="preserve"> </w:t>
      </w:r>
      <w:r>
        <w:t xml:space="preserve">Call</w:t>
      </w:r>
      <w:r>
        <w:t xml:space="preserve"> </w:t>
      </w:r>
      <w:r>
        <w:t xml:space="preserve">for the</w:t>
      </w:r>
      <w:r>
        <w:t xml:space="preserve"> </w:t>
      </w:r>
      <w:r>
        <w:t xml:space="preserve">Adoption</w:t>
      </w:r>
      <w:r>
        <w:t xml:space="preserve"> </w:t>
      </w:r>
      <w:r>
        <w:t xml:space="preserve">of</w:t>
      </w:r>
      <w:r>
        <w:t xml:space="preserve"> </w:t>
      </w:r>
      <w:r>
        <w:t xml:space="preserve">More</w:t>
      </w:r>
      <w:r>
        <w:t xml:space="preserve"> </w:t>
      </w:r>
      <w:r>
        <w:t xml:space="preserve">Transparent</w:t>
      </w:r>
      <w:r>
        <w:t xml:space="preserve"> </w:t>
      </w:r>
      <w:r>
        <w:t xml:space="preserve">Research</w:t>
      </w:r>
      <w:r>
        <w:t xml:space="preserve"> </w:t>
      </w:r>
      <w:r>
        <w:t xml:space="preserve">Practices</w:t>
      </w:r>
      <w:r>
        <w:t xml:space="preserve"> </w:t>
      </w:r>
      <w:r>
        <w:t xml:space="preserve">in</w:t>
      </w:r>
      <w:r>
        <w:t xml:space="preserve"> </w:t>
      </w:r>
      <w:r>
        <w:t xml:space="preserve">Sport</w:t>
      </w:r>
      <w:r>
        <w:t xml:space="preserve"> </w:t>
      </w:r>
      <w:r>
        <w:t xml:space="preserve">and</w:t>
      </w:r>
      <w:r>
        <w:t xml:space="preserve"> </w:t>
      </w:r>
      <w:r>
        <w:t xml:space="preserve">Exercise</w:t>
      </w:r>
      <w:r>
        <w:t xml:space="preserve"> </w:t>
      </w:r>
      <w:r>
        <w:t xml:space="preserve">Science</w:t>
      </w:r>
      <w:r>
        <w:t xml:space="preserve">.</w:t>
      </w:r>
      <w:r>
        <w:t xml:space="preserve"> </w:t>
      </w:r>
      <w:hyperlink r:id="rId40">
        <w:r>
          <w:rPr>
            <w:rStyle w:val="Hyperlink"/>
          </w:rPr>
          <w:t xml:space="preserve">https://doi.org/10.31236/osf.io/ftdgj</w:t>
        </w:r>
      </w:hyperlink>
    </w:p>
    <w:bookmarkEnd w:id="41"/>
    <w:bookmarkStart w:id="43" w:name="ref-caldwell_vigotsky_2020"/>
    <w:p>
      <w:pPr>
        <w:pStyle w:val="Bibliography"/>
      </w:pPr>
      <w:r>
        <w:t xml:space="preserve">Caldwell, A.R., Vigotsky, A.D., 2020. A case against default effect sizes in sport and exercise science. PeerJ 8, e10314.</w:t>
      </w:r>
      <w:r>
        <w:t xml:space="preserve"> </w:t>
      </w:r>
      <w:hyperlink r:id="rId42">
        <w:r>
          <w:rPr>
            <w:rStyle w:val="Hyperlink"/>
          </w:rPr>
          <w:t xml:space="preserve">https://doi.org/10.7717/peerj.10314</w:t>
        </w:r>
      </w:hyperlink>
    </w:p>
    <w:bookmarkEnd w:id="43"/>
    <w:bookmarkStart w:id="45" w:name="ref-caldwell_moving_2020"/>
    <w:p>
      <w:pPr>
        <w:pStyle w:val="Bibliography"/>
      </w:pPr>
      <w:r>
        <w:t xml:space="preserve">Caldwell, A.R., Vigotsky, A.D., Tenan, M.S., Radel, R., Mellor, D.T., Kreutzer, A., Lahart, I.M., Mills, J.P., Boisgontier, M.P., 2020. Moving sport and exercise science forward: A call for the adoption of more transparent research practices. Sports Medicine 50, 449–459.</w:t>
      </w:r>
      <w:r>
        <w:t xml:space="preserve"> </w:t>
      </w:r>
      <w:hyperlink r:id="rId44">
        <w:r>
          <w:rPr>
            <w:rStyle w:val="Hyperlink"/>
          </w:rPr>
          <w:t xml:space="preserve">https://doi.org/10.1007/s40279-019-01227-1</w:t>
        </w:r>
      </w:hyperlink>
    </w:p>
    <w:bookmarkEnd w:id="45"/>
    <w:bookmarkStart w:id="47" w:name="ref-cumming_new_statistics_2014"/>
    <w:p>
      <w:pPr>
        <w:pStyle w:val="Bibliography"/>
      </w:pPr>
      <w:r>
        <w:t xml:space="preserve">Cumming, G., 2014. The new statistics:</w:t>
      </w:r>
      <w:r>
        <w:t xml:space="preserve"> </w:t>
      </w:r>
      <w:r>
        <w:t xml:space="preserve">Why</w:t>
      </w:r>
      <w:r>
        <w:t xml:space="preserve"> </w:t>
      </w:r>
      <w:r>
        <w:t xml:space="preserve">and how. Psychological Science 25, 7–29.</w:t>
      </w:r>
      <w:r>
        <w:t xml:space="preserve"> </w:t>
      </w:r>
      <w:hyperlink r:id="rId46">
        <w:r>
          <w:rPr>
            <w:rStyle w:val="Hyperlink"/>
          </w:rPr>
          <w:t xml:space="preserve">https://doi.org/10.1177/0956797613504966</w:t>
        </w:r>
      </w:hyperlink>
    </w:p>
    <w:bookmarkEnd w:id="47"/>
    <w:bookmarkStart w:id="49" w:name="ref-curran2009"/>
    <w:p>
      <w:pPr>
        <w:pStyle w:val="Bibliography"/>
      </w:pPr>
      <w:r>
        <w:t xml:space="preserve">Curran, P.J., 2009. The seemingly quixotic pursuit of a cumulative psychological science: introduction to the special issue. Psychological Methods 14, 77–80.</w:t>
      </w:r>
      <w:r>
        <w:t xml:space="preserve"> </w:t>
      </w:r>
      <w:hyperlink r:id="rId48">
        <w:r>
          <w:rPr>
            <w:rStyle w:val="Hyperlink"/>
          </w:rPr>
          <w:t xml:space="preserve">https://doi.org/10.1037/a0015972</w:t>
        </w:r>
      </w:hyperlink>
    </w:p>
    <w:bookmarkEnd w:id="49"/>
    <w:bookmarkStart w:id="51" w:name="ref-metacheck"/>
    <w:p>
      <w:pPr>
        <w:pStyle w:val="Bibliography"/>
      </w:pPr>
      <w:r>
        <w:t xml:space="preserve">DeBruine, L., Mesquida, C., Werner, J., Lakens, D., 2026. Metacheck: Check research outputs for best practices.</w:t>
      </w:r>
      <w:r>
        <w:t xml:space="preserve"> </w:t>
      </w:r>
      <w:hyperlink r:id="rId50">
        <w:r>
          <w:rPr>
            <w:rStyle w:val="Hyperlink"/>
          </w:rPr>
          <w:t xml:space="preserve">https://doi.org/10.5281/zenodo.20704754</w:t>
        </w:r>
      </w:hyperlink>
    </w:p>
    <w:bookmarkEnd w:id="51"/>
    <w:bookmarkStart w:id="53" w:name="ref-errington_reproducibility_2017"/>
    <w:p>
      <w:pPr>
        <w:pStyle w:val="Bibliography"/>
      </w:pPr>
      <w:r>
        <w:t xml:space="preserve">Errington, T.M., Denis, A., Perfito, N., Iorns, E., Nosek, B.A., 2017. Reproducibility in cancer biology:</w:t>
      </w:r>
      <w:r>
        <w:t xml:space="preserve"> </w:t>
      </w:r>
      <w:r>
        <w:t xml:space="preserve">The</w:t>
      </w:r>
      <w:r>
        <w:t xml:space="preserve"> </w:t>
      </w:r>
      <w:r>
        <w:t xml:space="preserve">challenges of replication. eLife 6, e23693.</w:t>
      </w:r>
      <w:r>
        <w:t xml:space="preserve"> </w:t>
      </w:r>
      <w:hyperlink r:id="rId52">
        <w:r>
          <w:rPr>
            <w:rStyle w:val="Hyperlink"/>
          </w:rPr>
          <w:t xml:space="preserve">https://doi.org/10.7554/eLife.23693</w:t>
        </w:r>
      </w:hyperlink>
    </w:p>
    <w:bookmarkEnd w:id="53"/>
    <w:bookmarkStart w:id="55" w:name="ref-ferguson2023"/>
    <w:p>
      <w:pPr>
        <w:pStyle w:val="Bibliography"/>
      </w:pPr>
      <w:r>
        <w:t xml:space="preserve">Ferguson, J., Littman, R., Christensen, G., Paluck, E.L., Swanson, N., Wang, Z., Miguel, E., Birke, D., Pezzuto, J.-H., 2023. Survey of open science practices and attitudes in the social sciences. Nature Communications 14, 5401.</w:t>
      </w:r>
      <w:r>
        <w:t xml:space="preserve"> </w:t>
      </w:r>
      <w:hyperlink r:id="rId54">
        <w:r>
          <w:rPr>
            <w:rStyle w:val="Hyperlink"/>
          </w:rPr>
          <w:t xml:space="preserve">https://doi.org/10.1038/s41467-023-41111-1</w:t>
        </w:r>
      </w:hyperlink>
    </w:p>
    <w:bookmarkEnd w:id="55"/>
    <w:bookmarkStart w:id="56" w:name="ref-frank_error_2026"/>
    <w:p>
      <w:pPr>
        <w:pStyle w:val="Bibliography"/>
      </w:pPr>
      <w:r>
        <w:t xml:space="preserve">Frank, M., Miller, B., Vosskuhl, J., Zänkert, S., Heßelmann, F., Jolliffe, J., 2026. Error needs culture!</w:t>
      </w:r>
      <w:r>
        <w:t xml:space="preserve"> </w:t>
      </w:r>
      <w:r>
        <w:t xml:space="preserve">Exploring</w:t>
      </w:r>
      <w:r>
        <w:t xml:space="preserve"> </w:t>
      </w:r>
      <w:r>
        <w:t xml:space="preserve">the relationship between error culture and openness. Royal Society Open Science 13, 242233.</w:t>
      </w:r>
    </w:p>
    <w:bookmarkEnd w:id="56"/>
    <w:bookmarkStart w:id="58" w:name="ref-germaine2024"/>
    <w:p>
      <w:pPr>
        <w:pStyle w:val="Bibliography"/>
      </w:pPr>
      <w:r>
        <w:t xml:space="preserve">Germaine, M., Healy, G., Egan, B., 2024. Lack of Data Sharing Despite Data Availability Statements in Studies Using Machine Learning Models for Prediction of Gestational Diabetes Mellitus. Diabetes Care 47, e78–e79.</w:t>
      </w:r>
      <w:r>
        <w:t xml:space="preserve"> </w:t>
      </w:r>
      <w:hyperlink r:id="rId57">
        <w:r>
          <w:rPr>
            <w:rStyle w:val="Hyperlink"/>
          </w:rPr>
          <w:t xml:space="preserve">https://doi.org/10.2337/dc24-1483</w:t>
        </w:r>
      </w:hyperlink>
    </w:p>
    <w:bookmarkEnd w:id="58"/>
    <w:bookmarkStart w:id="60" w:name="ref-giuffre2023"/>
    <w:p>
      <w:pPr>
        <w:pStyle w:val="Bibliography"/>
      </w:pPr>
      <w:r>
        <w:t xml:space="preserve">Giuffrè, M., Shung, D.L., 2023. Harnessing the power of synthetic data in healthcare: Innovation, application, and privacy. npj Digital Medicine 6, 186.</w:t>
      </w:r>
      <w:r>
        <w:t xml:space="preserve"> </w:t>
      </w:r>
      <w:hyperlink r:id="rId59">
        <w:r>
          <w:rPr>
            <w:rStyle w:val="Hyperlink"/>
          </w:rPr>
          <w:t xml:space="preserve">https://doi.org/10.1038/s41746-023-00927-3</w:t>
        </w:r>
      </w:hyperlink>
    </w:p>
    <w:bookmarkEnd w:id="60"/>
    <w:bookmarkStart w:id="62" w:name="ref-R-flextable"/>
    <w:p>
      <w:pPr>
        <w:pStyle w:val="Bibliography"/>
      </w:pPr>
      <w:r>
        <w:t xml:space="preserve">Gohel, D., Skintzos, P., 2026.</w:t>
      </w:r>
      <w:r>
        <w:t xml:space="preserve"> </w:t>
      </w:r>
      <w:hyperlink r:id="rId61">
        <w:r>
          <w:rPr>
            <w:rStyle w:val="Hyperlink"/>
          </w:rPr>
          <w:t xml:space="preserve">Flextable: Functions for tabular reporting</w:t>
        </w:r>
      </w:hyperlink>
      <w:r>
        <w:t xml:space="preserve">.</w:t>
      </w:r>
    </w:p>
    <w:bookmarkEnd w:id="62"/>
    <w:bookmarkStart w:id="64" w:name="ref-greenland_misinterpretations_2016"/>
    <w:p>
      <w:pPr>
        <w:pStyle w:val="Bibliography"/>
      </w:pPr>
      <w:r>
        <w:t xml:space="preserve">Greenland, S., Senn, S.J., Rothman, K.J., Carlin, J.B., Poole, C., Goodman, S.N., Altman, D.G., 2016. Statistical tests,</w:t>
      </w:r>
      <w:r>
        <w:t xml:space="preserve"> </w:t>
      </w:r>
      <w:r>
        <w:t xml:space="preserve">P</w:t>
      </w:r>
      <w:r>
        <w:t xml:space="preserve"> </w:t>
      </w:r>
      <w:r>
        <w:t xml:space="preserve">values, confidence intervals, and power: A guide to misinterpretations. European Journal of Epidemiology 31, 337–350.</w:t>
      </w:r>
      <w:r>
        <w:t xml:space="preserve"> </w:t>
      </w:r>
      <w:hyperlink r:id="rId63">
        <w:r>
          <w:rPr>
            <w:rStyle w:val="Hyperlink"/>
          </w:rPr>
          <w:t xml:space="preserve">https://doi.org/10.1007/s10654-016-0149-3</w:t>
        </w:r>
      </w:hyperlink>
    </w:p>
    <w:bookmarkEnd w:id="64"/>
    <w:bookmarkStart w:id="66" w:name="ref-halsey_reign_2019"/>
    <w:p>
      <w:pPr>
        <w:pStyle w:val="Bibliography"/>
      </w:pPr>
      <w:r>
        <w:t xml:space="preserve">Halsey, L.G., 2019. The reign of the p-value is over: What alternative analyses could we employ to fill the power vacuum? Biology Letters 15, 20190174.</w:t>
      </w:r>
      <w:r>
        <w:t xml:space="preserve"> </w:t>
      </w:r>
      <w:hyperlink r:id="rId65">
        <w:r>
          <w:rPr>
            <w:rStyle w:val="Hyperlink"/>
          </w:rPr>
          <w:t xml:space="preserve">https://doi.org/10.1098/rsbl.2019.0174</w:t>
        </w:r>
      </w:hyperlink>
    </w:p>
    <w:bookmarkEnd w:id="66"/>
    <w:bookmarkStart w:id="68" w:name="ref-hardwicke_psych_2022"/>
    <w:p>
      <w:pPr>
        <w:pStyle w:val="Bibliography"/>
      </w:pPr>
      <w:r>
        <w:t xml:space="preserve">Hardwicke, T.E., Thibault, R.T., Kosie, J.E., Wallach, J.D., Kidwell, M.C., Ioannidis, J.P.A., 2022. Estimating the prevalence of transparency and reproducibility-related research practices in psychology (2014–2017). Perspectives on Psychological Science 17, 239–251.</w:t>
      </w:r>
      <w:r>
        <w:t xml:space="preserve"> </w:t>
      </w:r>
      <w:hyperlink r:id="rId67">
        <w:r>
          <w:rPr>
            <w:rStyle w:val="Hyperlink"/>
          </w:rPr>
          <w:t xml:space="preserve">https://doi.org/10.1177/1745691620979806</w:t>
        </w:r>
      </w:hyperlink>
    </w:p>
    <w:bookmarkEnd w:id="68"/>
    <w:bookmarkStart w:id="70" w:name="ref-hartgerink_688112_2016"/>
    <w:p>
      <w:pPr>
        <w:pStyle w:val="Bibliography"/>
      </w:pPr>
      <w:r>
        <w:t xml:space="preserve">Hartgerink, C.H.J., 2016. 688,112 statistical results:</w:t>
      </w:r>
      <w:r>
        <w:t xml:space="preserve"> </w:t>
      </w:r>
      <w:r>
        <w:t xml:space="preserve">Content</w:t>
      </w:r>
      <w:r>
        <w:t xml:space="preserve"> </w:t>
      </w:r>
      <w:r>
        <w:t xml:space="preserve">mining psychology articles for statistical test results. Data 1, 14.</w:t>
      </w:r>
      <w:r>
        <w:t xml:space="preserve"> </w:t>
      </w:r>
      <w:hyperlink r:id="rId69">
        <w:r>
          <w:rPr>
            <w:rStyle w:val="Hyperlink"/>
          </w:rPr>
          <w:t xml:space="preserve">https://doi.org/10.3390/data1030014</w:t>
        </w:r>
      </w:hyperlink>
    </w:p>
    <w:bookmarkEnd w:id="70"/>
    <w:bookmarkStart w:id="72" w:name="ref-knudson_confidence_2017"/>
    <w:p>
      <w:pPr>
        <w:pStyle w:val="Bibliography"/>
      </w:pPr>
      <w:r>
        <w:t xml:space="preserve">Knudson, D., 2017. Confidence crisis of results in biomechanics research. Sports Biomechanics 16, 425–433.</w:t>
      </w:r>
      <w:r>
        <w:t xml:space="preserve"> </w:t>
      </w:r>
      <w:hyperlink r:id="rId71">
        <w:r>
          <w:rPr>
            <w:rStyle w:val="Hyperlink"/>
          </w:rPr>
          <w:t xml:space="preserve">https://doi.org/10.1080/14763141.2016.1246603</w:t>
        </w:r>
      </w:hyperlink>
    </w:p>
    <w:bookmarkEnd w:id="72"/>
    <w:bookmarkStart w:id="74" w:name="ref-lakens_improving_2022"/>
    <w:p>
      <w:pPr>
        <w:pStyle w:val="Bibliography"/>
      </w:pPr>
      <w:r>
        <w:t xml:space="preserve">Lakens, D., 2022. Improving</w:t>
      </w:r>
      <w:r>
        <w:t xml:space="preserve"> </w:t>
      </w:r>
      <w:r>
        <w:t xml:space="preserve">Your</w:t>
      </w:r>
      <w:r>
        <w:t xml:space="preserve"> </w:t>
      </w:r>
      <w:r>
        <w:t xml:space="preserve">Statistical</w:t>
      </w:r>
      <w:r>
        <w:t xml:space="preserve"> </w:t>
      </w:r>
      <w:r>
        <w:t xml:space="preserve">Inferences</w:t>
      </w:r>
      <w:r>
        <w:t xml:space="preserve">.</w:t>
      </w:r>
      <w:r>
        <w:t xml:space="preserve"> </w:t>
      </w:r>
      <w:hyperlink r:id="rId73">
        <w:r>
          <w:rPr>
            <w:rStyle w:val="Hyperlink"/>
          </w:rPr>
          <w:t xml:space="preserve">https://doi.org/10.5281/ZENODO.6409077</w:t>
        </w:r>
      </w:hyperlink>
    </w:p>
    <w:bookmarkEnd w:id="74"/>
    <w:bookmarkStart w:id="76" w:name="ref-lakens_equivalence_2017"/>
    <w:p>
      <w:pPr>
        <w:pStyle w:val="Bibliography"/>
      </w:pPr>
      <w:r>
        <w:t xml:space="preserve">Lakens, D., 2017. Equivalence tests:</w:t>
      </w:r>
      <w:r>
        <w:t xml:space="preserve"> </w:t>
      </w:r>
      <w:r>
        <w:t xml:space="preserve">A</w:t>
      </w:r>
      <w:r>
        <w:t xml:space="preserve"> </w:t>
      </w:r>
      <w:r>
        <w:t xml:space="preserve">practical primer for t-tests, correlations, and meta-analyses. Social Psychological and Personality Science 8, 355–362.</w:t>
      </w:r>
      <w:r>
        <w:t xml:space="preserve"> </w:t>
      </w:r>
      <w:hyperlink r:id="rId75">
        <w:r>
          <w:rPr>
            <w:rStyle w:val="Hyperlink"/>
          </w:rPr>
          <w:t xml:space="preserve">https://doi.org/10.1177/1948550617697177</w:t>
        </w:r>
      </w:hyperlink>
    </w:p>
    <w:bookmarkEnd w:id="76"/>
    <w:bookmarkStart w:id="78" w:name="ref-lakens_calculating_2013"/>
    <w:p>
      <w:pPr>
        <w:pStyle w:val="Bibliography"/>
      </w:pPr>
      <w:r>
        <w:t xml:space="preserve">Lakens, D., 2013. Calculating and reporting effect sizes to facilitate cumulative science: A practical primer for t-tests and</w:t>
      </w:r>
      <w:r>
        <w:t xml:space="preserve"> </w:t>
      </w:r>
      <w:r>
        <w:t xml:space="preserve">ANOVAs</w:t>
      </w:r>
      <w:r>
        <w:t xml:space="preserve">. Frontiers in Psychology 4, 863.</w:t>
      </w:r>
      <w:r>
        <w:t xml:space="preserve"> </w:t>
      </w:r>
      <w:hyperlink r:id="rId77">
        <w:r>
          <w:rPr>
            <w:rStyle w:val="Hyperlink"/>
          </w:rPr>
          <w:t xml:space="preserve">https://doi.org/10.3389/fpsyg.2013.00863</w:t>
        </w:r>
      </w:hyperlink>
    </w:p>
    <w:bookmarkEnd w:id="78"/>
    <w:bookmarkStart w:id="80" w:name="ref-mesquida2023"/>
    <w:p>
      <w:pPr>
        <w:pStyle w:val="Bibliography"/>
      </w:pPr>
      <w:r>
        <w:t xml:space="preserve">Mesquida, C., Murphy, J., Lakens, D., Warne, J., 2023. Publication bias, statistical power and reporting practices in the</w:t>
      </w:r>
      <w:r>
        <w:t xml:space="preserve"> </w:t>
      </w:r>
      <w:r>
        <w:t xml:space="preserve">Journal</w:t>
      </w:r>
      <w:r>
        <w:t xml:space="preserve"> </w:t>
      </w:r>
      <w:r>
        <w:t xml:space="preserve">of</w:t>
      </w:r>
      <w:r>
        <w:t xml:space="preserve"> </w:t>
      </w:r>
      <w:r>
        <w:t xml:space="preserve">Sports</w:t>
      </w:r>
      <w:r>
        <w:t xml:space="preserve"> </w:t>
      </w:r>
      <w:r>
        <w:t xml:space="preserve">Sciences</w:t>
      </w:r>
      <w:r>
        <w:t xml:space="preserve">: potential barriers to replicability. Journal of Sports Sciences 41, 1507–1517.</w:t>
      </w:r>
      <w:r>
        <w:t xml:space="preserve"> </w:t>
      </w:r>
      <w:hyperlink r:id="rId79">
        <w:r>
          <w:rPr>
            <w:rStyle w:val="Hyperlink"/>
          </w:rPr>
          <w:t xml:space="preserve">https://doi.org/10.1080/02640414.2023.2269357</w:t>
        </w:r>
      </w:hyperlink>
    </w:p>
    <w:bookmarkEnd w:id="80"/>
    <w:bookmarkStart w:id="82" w:name="ref-R-here"/>
    <w:p>
      <w:pPr>
        <w:pStyle w:val="Bibliography"/>
      </w:pPr>
      <w:r>
        <w:t xml:space="preserve">Müller, K., 2025.</w:t>
      </w:r>
      <w:r>
        <w:t xml:space="preserve"> </w:t>
      </w:r>
      <w:hyperlink r:id="rId81">
        <w:r>
          <w:rPr>
            <w:rStyle w:val="Hyperlink"/>
          </w:rPr>
          <w:t xml:space="preserve">Here: A simpler way to find your files</w:t>
        </w:r>
      </w:hyperlink>
      <w:r>
        <w:t xml:space="preserve">.</w:t>
      </w:r>
    </w:p>
    <w:bookmarkEnd w:id="82"/>
    <w:bookmarkStart w:id="84" w:name="ref-R-tibble"/>
    <w:p>
      <w:pPr>
        <w:pStyle w:val="Bibliography"/>
      </w:pPr>
      <w:r>
        <w:t xml:space="preserve">Müller, K., Wickham, H., 2026.</w:t>
      </w:r>
      <w:r>
        <w:t xml:space="preserve"> </w:t>
      </w:r>
      <w:hyperlink r:id="rId83">
        <w:r>
          <w:rPr>
            <w:rStyle w:val="Hyperlink"/>
          </w:rPr>
          <w:t xml:space="preserve">Tibble: Simple data frames</w:t>
        </w:r>
      </w:hyperlink>
      <w:r>
        <w:t xml:space="preserve">.</w:t>
      </w:r>
    </w:p>
    <w:bookmarkEnd w:id="84"/>
    <w:bookmarkStart w:id="86" w:name="ref-murphy_proposal_2022"/>
    <w:p>
      <w:pPr>
        <w:pStyle w:val="Bibliography"/>
      </w:pPr>
      <w:r>
        <w:t xml:space="preserve">Murphy, J., Mesquida, C., Caldwell, A.R., Earp, B.D., Warne, J.P., 2023. Proposal of a</w:t>
      </w:r>
      <w:r>
        <w:t xml:space="preserve"> </w:t>
      </w:r>
      <w:r>
        <w:t xml:space="preserve">Selection</w:t>
      </w:r>
      <w:r>
        <w:t xml:space="preserve"> </w:t>
      </w:r>
      <w:r>
        <w:t xml:space="preserve">Protocol</w:t>
      </w:r>
      <w:r>
        <w:t xml:space="preserve"> </w:t>
      </w:r>
      <w:r>
        <w:t xml:space="preserve">for</w:t>
      </w:r>
      <w:r>
        <w:t xml:space="preserve"> </w:t>
      </w:r>
      <w:r>
        <w:t xml:space="preserve">Replication</w:t>
      </w:r>
      <w:r>
        <w:t xml:space="preserve"> </w:t>
      </w:r>
      <w:r>
        <w:t xml:space="preserve">of</w:t>
      </w:r>
      <w:r>
        <w:t xml:space="preserve"> </w:t>
      </w:r>
      <w:r>
        <w:t xml:space="preserve">Studies</w:t>
      </w:r>
      <w:r>
        <w:t xml:space="preserve"> </w:t>
      </w:r>
      <w:r>
        <w:t xml:space="preserve">in</w:t>
      </w:r>
      <w:r>
        <w:t xml:space="preserve"> </w:t>
      </w:r>
      <w:r>
        <w:t xml:space="preserve">Sports</w:t>
      </w:r>
      <w:r>
        <w:t xml:space="preserve"> </w:t>
      </w:r>
      <w:r>
        <w:t xml:space="preserve">and</w:t>
      </w:r>
      <w:r>
        <w:t xml:space="preserve"> </w:t>
      </w:r>
      <w:r>
        <w:t xml:space="preserve">Exercise</w:t>
      </w:r>
      <w:r>
        <w:t xml:space="preserve"> </w:t>
      </w:r>
      <w:r>
        <w:t xml:space="preserve">Science</w:t>
      </w:r>
      <w:r>
        <w:t xml:space="preserve">. Sports Medicine 53, 281–291.</w:t>
      </w:r>
      <w:r>
        <w:t xml:space="preserve"> </w:t>
      </w:r>
      <w:hyperlink r:id="rId85">
        <w:r>
          <w:rPr>
            <w:rStyle w:val="Hyperlink"/>
          </w:rPr>
          <w:t xml:space="preserve">https://doi.org/10.1007/s40279-022-01749-1</w:t>
        </w:r>
      </w:hyperlink>
    </w:p>
    <w:bookmarkEnd w:id="86"/>
    <w:bookmarkStart w:id="88" w:name="ref-nosek_top_2015"/>
    <w:p>
      <w:pPr>
        <w:pStyle w:val="Bibliography"/>
      </w:pPr>
      <w:r>
        <w:t xml:space="preserve">Nosek, B.A., Alter, G., Banks, G.C., Borsboom, D., Bowman, S.D., Breckler, S.J., Buck, S., Chambers, C.D., Chin, G., Christensen, G., Contestabile, M., Dafoe, A., Eich, E., Freese, J., Glennerster, R., Goroff, D., Green, D.P., Hesse, B., Humphreys, M., Ishiyama, J., Karlan, D., Kraut, A., Lupia, A., Mabry, P., Madon, T., Malhotra, N., Mayo-Wilson, E., McNutt, M., Miguel, E., Paluck, E.L., Simonsohn, U., Soderberg, C., Spellman, B.A., Turitto, J., VandenBos, G., Vazire, S., Wagenmakers, E.J., Wilson, R., Yarkoni, T., 2015. Promoting an open research culture. Science 348, 1422–1425.</w:t>
      </w:r>
      <w:r>
        <w:t xml:space="preserve"> </w:t>
      </w:r>
      <w:hyperlink r:id="rId87">
        <w:r>
          <w:rPr>
            <w:rStyle w:val="Hyperlink"/>
          </w:rPr>
          <w:t xml:space="preserve">https://doi.org/10.1126/science.aab2374</w:t>
        </w:r>
      </w:hyperlink>
    </w:p>
    <w:bookmarkEnd w:id="88"/>
    <w:bookmarkStart w:id="90" w:name="ref-nuijten_validity_2017"/>
    <w:p>
      <w:pPr>
        <w:pStyle w:val="Bibliography"/>
      </w:pPr>
      <w:r>
        <w:t xml:space="preserve">Nuijten, M.B., Assen, M.A.L.M. van, Hartgerink, C.H.J., Epskamp, S., Wicherts, J.M., 2017. The</w:t>
      </w:r>
      <w:r>
        <w:t xml:space="preserve"> </w:t>
      </w:r>
      <w:r>
        <w:t xml:space="preserve">Validity</w:t>
      </w:r>
      <w:r>
        <w:t xml:space="preserve"> </w:t>
      </w:r>
      <w:r>
        <w:t xml:space="preserve">of the</w:t>
      </w:r>
      <w:r>
        <w:t xml:space="preserve"> </w:t>
      </w:r>
      <w:r>
        <w:t xml:space="preserve">Tool</w:t>
      </w:r>
      <w:r>
        <w:t xml:space="preserve"> </w:t>
      </w:r>
      <w:r>
        <w:t xml:space="preserve">“statcheck”</w:t>
      </w:r>
      <w:r>
        <w:t xml:space="preserve"> </w:t>
      </w:r>
      <w:r>
        <w:t xml:space="preserve">in</w:t>
      </w:r>
      <w:r>
        <w:t xml:space="preserve"> </w:t>
      </w:r>
      <w:r>
        <w:t xml:space="preserve">Discovering</w:t>
      </w:r>
      <w:r>
        <w:t xml:space="preserve"> </w:t>
      </w:r>
      <w:r>
        <w:t xml:space="preserve">Statistical</w:t>
      </w:r>
      <w:r>
        <w:t xml:space="preserve"> </w:t>
      </w:r>
      <w:r>
        <w:t xml:space="preserve">Reporting</w:t>
      </w:r>
      <w:r>
        <w:t xml:space="preserve"> </w:t>
      </w:r>
      <w:r>
        <w:t xml:space="preserve">Inconsistencies</w:t>
      </w:r>
      <w:r>
        <w:t xml:space="preserve">.</w:t>
      </w:r>
      <w:r>
        <w:t xml:space="preserve"> </w:t>
      </w:r>
      <w:hyperlink r:id="rId89">
        <w:r>
          <w:rPr>
            <w:rStyle w:val="Hyperlink"/>
          </w:rPr>
          <w:t xml:space="preserve">https://doi.org/10.31234/osf.io/tcxaj</w:t>
        </w:r>
      </w:hyperlink>
    </w:p>
    <w:bookmarkEnd w:id="90"/>
    <w:bookmarkStart w:id="92" w:name="ref-R-statcheck"/>
    <w:p>
      <w:pPr>
        <w:pStyle w:val="Bibliography"/>
      </w:pPr>
      <w:r>
        <w:t xml:space="preserve">Nuijten, M.B., Epskamp, S., 2024.</w:t>
      </w:r>
      <w:r>
        <w:t xml:space="preserve"> </w:t>
      </w:r>
      <w:hyperlink r:id="rId91">
        <w:r>
          <w:rPr>
            <w:rStyle w:val="Hyperlink"/>
          </w:rPr>
          <w:t xml:space="preserve">Statcheck: Extract statistics from articles and recompute p-values</w:t>
        </w:r>
      </w:hyperlink>
      <w:r>
        <w:t xml:space="preserve">.</w:t>
      </w:r>
    </w:p>
    <w:bookmarkEnd w:id="92"/>
    <w:bookmarkStart w:id="94" w:name="ref-nuijten2020"/>
    <w:p>
      <w:pPr>
        <w:pStyle w:val="Bibliography"/>
      </w:pPr>
      <w:r>
        <w:t xml:space="preserve">Nuijten, M.B., Polanin, J.R., 2020. statcheck:</w:t>
      </w:r>
      <w:r>
        <w:t xml:space="preserve"> </w:t>
      </w:r>
      <w:r>
        <w:t xml:space="preserve">Automatically</w:t>
      </w:r>
      <w:r>
        <w:t xml:space="preserve"> </w:t>
      </w:r>
      <w:r>
        <w:t xml:space="preserve">detect statistical reporting inconsistencies to increase reproducibility of meta-analyses. Research Synthesis Methods 11, 574–579.</w:t>
      </w:r>
      <w:r>
        <w:t xml:space="preserve"> </w:t>
      </w:r>
      <w:hyperlink r:id="rId93">
        <w:r>
          <w:rPr>
            <w:rStyle w:val="Hyperlink"/>
          </w:rPr>
          <w:t xml:space="preserve">https://doi.org/10.1002/jrsm.1408</w:t>
        </w:r>
      </w:hyperlink>
    </w:p>
    <w:bookmarkEnd w:id="94"/>
    <w:bookmarkStart w:id="96" w:name="ref-nuijten_prevalence_2016"/>
    <w:p>
      <w:pPr>
        <w:pStyle w:val="Bibliography"/>
      </w:pPr>
      <w:r>
        <w:t xml:space="preserve">Nuijten, M., Hartgerink, C.H.J., Van Assen, M.A.L.M., Epskamp, S., Wicherts, J.M., 2016. The prevalence of statistical reporting errors in psychology (1985–2013). Behavior Research Methods 48, 1205–1226.</w:t>
      </w:r>
      <w:r>
        <w:t xml:space="preserve"> </w:t>
      </w:r>
      <w:hyperlink r:id="rId95">
        <w:r>
          <w:rPr>
            <w:rStyle w:val="Hyperlink"/>
          </w:rPr>
          <w:t xml:space="preserve">https://doi.org/10.3758/s13428-015-0664-2</w:t>
        </w:r>
      </w:hyperlink>
    </w:p>
    <w:bookmarkEnd w:id="96"/>
    <w:bookmarkStart w:id="98" w:name="ref-sainani_mbi_2018"/>
    <w:p>
      <w:pPr>
        <w:pStyle w:val="Bibliography"/>
      </w:pPr>
      <w:r>
        <w:t xml:space="preserve">Sainani, K.L., 2018. The problem with</w:t>
      </w:r>
      <w:r>
        <w:t xml:space="preserve"> </w:t>
      </w:r>
      <w:r>
        <w:t xml:space="preserve">“magnitude-based inference.”</w:t>
      </w:r>
      <w:r>
        <w:t xml:space="preserve"> </w:t>
      </w:r>
      <w:r>
        <w:t xml:space="preserve">Medicine and Science in Sports and Exercise 50, 2166–2176.</w:t>
      </w:r>
      <w:r>
        <w:t xml:space="preserve"> </w:t>
      </w:r>
      <w:hyperlink r:id="rId97">
        <w:r>
          <w:rPr>
            <w:rStyle w:val="Hyperlink"/>
          </w:rPr>
          <w:t xml:space="preserve">https://doi.org/10.1249/MSS.0000000000001645</w:t>
        </w:r>
      </w:hyperlink>
    </w:p>
    <w:bookmarkEnd w:id="98"/>
    <w:bookmarkStart w:id="100" w:name="ref-schmidt_statcheck_2017"/>
    <w:p>
      <w:pPr>
        <w:pStyle w:val="Bibliography"/>
      </w:pPr>
      <w:r>
        <w:t xml:space="preserve">Schmidt, T., 2017. Statcheck does not work: All the numbers.</w:t>
      </w:r>
      <w:r>
        <w:t xml:space="preserve"> </w:t>
      </w:r>
      <w:r>
        <w:t xml:space="preserve">Reply</w:t>
      </w:r>
      <w:r>
        <w:t xml:space="preserve"> </w:t>
      </w:r>
      <w:r>
        <w:t xml:space="preserve">to</w:t>
      </w:r>
      <w:r>
        <w:t xml:space="preserve"> </w:t>
      </w:r>
      <w:r>
        <w:t xml:space="preserve">Nuijten</w:t>
      </w:r>
      <w:r>
        <w:t xml:space="preserve"> </w:t>
      </w:r>
      <w:r>
        <w:t xml:space="preserve">et al. (2017).</w:t>
      </w:r>
      <w:r>
        <w:t xml:space="preserve"> </w:t>
      </w:r>
      <w:hyperlink r:id="rId99">
        <w:r>
          <w:rPr>
            <w:rStyle w:val="Hyperlink"/>
          </w:rPr>
          <w:t xml:space="preserve">https://doi.org/10.31234/osf.io/hr6qy</w:t>
        </w:r>
      </w:hyperlink>
    </w:p>
    <w:bookmarkEnd w:id="100"/>
    <w:bookmarkStart w:id="102" w:name="ref-twomey_nature_2021"/>
    <w:p>
      <w:pPr>
        <w:pStyle w:val="Bibliography"/>
      </w:pPr>
      <w:r>
        <w:t xml:space="preserve">Twomey, R., Harlley, S., Medina, C.R., Murphy, J., Atkins, W., McCrum, C., Schneider, C., Warne, J., Yingling, V., Caldwell, A., 2021. The</w:t>
      </w:r>
      <w:r>
        <w:t xml:space="preserve"> </w:t>
      </w:r>
      <w:r>
        <w:t xml:space="preserve">Nature</w:t>
      </w:r>
      <w:r>
        <w:t xml:space="preserve"> </w:t>
      </w:r>
      <w:r>
        <w:t xml:space="preserve">of</w:t>
      </w:r>
      <w:r>
        <w:t xml:space="preserve"> </w:t>
      </w:r>
      <w:r>
        <w:t xml:space="preserve">Our</w:t>
      </w:r>
      <w:r>
        <w:t xml:space="preserve"> </w:t>
      </w:r>
      <w:r>
        <w:t xml:space="preserve">Literature</w:t>
      </w:r>
      <w:r>
        <w:t xml:space="preserve">:</w:t>
      </w:r>
      <w:r>
        <w:t xml:space="preserve"> </w:t>
      </w:r>
      <w:r>
        <w:t xml:space="preserve">A</w:t>
      </w:r>
      <w:r>
        <w:t xml:space="preserve"> </w:t>
      </w:r>
      <w:r>
        <w:t xml:space="preserve">Registered</w:t>
      </w:r>
      <w:r>
        <w:t xml:space="preserve"> </w:t>
      </w:r>
      <w:r>
        <w:t xml:space="preserve">Report</w:t>
      </w:r>
      <w:r>
        <w:t xml:space="preserve"> </w:t>
      </w:r>
      <w:r>
        <w:t xml:space="preserve">on the</w:t>
      </w:r>
      <w:r>
        <w:t xml:space="preserve"> </w:t>
      </w:r>
      <w:r>
        <w:t xml:space="preserve">Positive</w:t>
      </w:r>
      <w:r>
        <w:t xml:space="preserve"> </w:t>
      </w:r>
      <w:r>
        <w:t xml:space="preserve">Result</w:t>
      </w:r>
      <w:r>
        <w:t xml:space="preserve"> </w:t>
      </w:r>
      <w:r>
        <w:t xml:space="preserve">Rate</w:t>
      </w:r>
      <w:r>
        <w:t xml:space="preserve"> </w:t>
      </w:r>
      <w:r>
        <w:t xml:space="preserve">and</w:t>
      </w:r>
      <w:r>
        <w:t xml:space="preserve"> </w:t>
      </w:r>
      <w:r>
        <w:t xml:space="preserve">Reporting</w:t>
      </w:r>
      <w:r>
        <w:t xml:space="preserve"> </w:t>
      </w:r>
      <w:r>
        <w:t xml:space="preserve">Practices</w:t>
      </w:r>
      <w:r>
        <w:t xml:space="preserve"> </w:t>
      </w:r>
      <w:r>
        <w:t xml:space="preserve">in</w:t>
      </w:r>
      <w:r>
        <w:t xml:space="preserve"> </w:t>
      </w:r>
      <w:r>
        <w:t xml:space="preserve">Kinesiology</w:t>
      </w:r>
      <w:r>
        <w:t xml:space="preserve">. Communications in Kinesiology 1, 43.</w:t>
      </w:r>
      <w:r>
        <w:t xml:space="preserve"> </w:t>
      </w:r>
      <w:hyperlink r:id="rId101">
        <w:r>
          <w:rPr>
            <w:rStyle w:val="Hyperlink"/>
          </w:rPr>
          <w:t xml:space="preserve">https://doi.org/10.51224/cik.v1i3.43</w:t>
        </w:r>
      </w:hyperlink>
    </w:p>
    <w:bookmarkEnd w:id="102"/>
    <w:bookmarkStart w:id="104" w:name="ref-veldkamp_statistical_2014"/>
    <w:p>
      <w:pPr>
        <w:pStyle w:val="Bibliography"/>
      </w:pPr>
      <w:r>
        <w:t xml:space="preserve">Veldkamp, C.L.S., Nuijten, M.B., Dominguez-Alvarez, L., Assen, M.A.L.M. van, Wicherts, J.M., 2014. Statistical</w:t>
      </w:r>
      <w:r>
        <w:t xml:space="preserve"> </w:t>
      </w:r>
      <w:r>
        <w:t xml:space="preserve">Reporting</w:t>
      </w:r>
      <w:r>
        <w:t xml:space="preserve"> </w:t>
      </w:r>
      <w:r>
        <w:t xml:space="preserve">Errors</w:t>
      </w:r>
      <w:r>
        <w:t xml:space="preserve"> </w:t>
      </w:r>
      <w:r>
        <w:t xml:space="preserve">and</w:t>
      </w:r>
      <w:r>
        <w:t xml:space="preserve"> </w:t>
      </w:r>
      <w:r>
        <w:t xml:space="preserve">Collaboration</w:t>
      </w:r>
      <w:r>
        <w:t xml:space="preserve"> </w:t>
      </w:r>
      <w:r>
        <w:t xml:space="preserve">on</w:t>
      </w:r>
      <w:r>
        <w:t xml:space="preserve"> </w:t>
      </w:r>
      <w:r>
        <w:t xml:space="preserve">Statistical</w:t>
      </w:r>
      <w:r>
        <w:t xml:space="preserve"> </w:t>
      </w:r>
      <w:r>
        <w:t xml:space="preserve">Analyses</w:t>
      </w:r>
      <w:r>
        <w:t xml:space="preserve"> </w:t>
      </w:r>
      <w:r>
        <w:t xml:space="preserve">in</w:t>
      </w:r>
      <w:r>
        <w:t xml:space="preserve"> </w:t>
      </w:r>
      <w:r>
        <w:t xml:space="preserve">Psychological</w:t>
      </w:r>
      <w:r>
        <w:t xml:space="preserve"> </w:t>
      </w:r>
      <w:r>
        <w:t xml:space="preserve">Science</w:t>
      </w:r>
      <w:r>
        <w:t xml:space="preserve">. PLOS ONE 9, e114876.</w:t>
      </w:r>
      <w:r>
        <w:t xml:space="preserve"> </w:t>
      </w:r>
      <w:hyperlink r:id="rId103">
        <w:r>
          <w:rPr>
            <w:rStyle w:val="Hyperlink"/>
          </w:rPr>
          <w:t xml:space="preserve">https://doi.org/10.1371/journal.pone.0114876</w:t>
        </w:r>
      </w:hyperlink>
    </w:p>
    <w:bookmarkEnd w:id="104"/>
    <w:bookmarkStart w:id="106" w:name="ref-wasserstein_asa_2016"/>
    <w:p>
      <w:pPr>
        <w:pStyle w:val="Bibliography"/>
      </w:pPr>
      <w:r>
        <w:t xml:space="preserve">Wasserstein, R.L., Lazar, N.A., 2016. The</w:t>
      </w:r>
      <w:r>
        <w:t xml:space="preserve"> </w:t>
      </w:r>
      <w:r>
        <w:t xml:space="preserve">ASA</w:t>
      </w:r>
      <w:r>
        <w:t xml:space="preserve">’s</w:t>
      </w:r>
      <w:r>
        <w:t xml:space="preserve"> </w:t>
      </w:r>
      <w:r>
        <w:t xml:space="preserve">Statement</w:t>
      </w:r>
      <w:r>
        <w:t xml:space="preserve"> </w:t>
      </w:r>
      <w:r>
        <w:t xml:space="preserve">on p-</w:t>
      </w:r>
      <w:r>
        <w:t xml:space="preserve">Values</w:t>
      </w:r>
      <w:r>
        <w:t xml:space="preserve">:</w:t>
      </w:r>
      <w:r>
        <w:t xml:space="preserve"> </w:t>
      </w:r>
      <w:r>
        <w:t xml:space="preserve">Context</w:t>
      </w:r>
      <w:r>
        <w:t xml:space="preserve">,</w:t>
      </w:r>
      <w:r>
        <w:t xml:space="preserve"> </w:t>
      </w:r>
      <w:r>
        <w:t xml:space="preserve">Process</w:t>
      </w:r>
      <w:r>
        <w:t xml:space="preserve">, and</w:t>
      </w:r>
      <w:r>
        <w:t xml:space="preserve"> </w:t>
      </w:r>
      <w:r>
        <w:t xml:space="preserve">Purpose</w:t>
      </w:r>
      <w:r>
        <w:t xml:space="preserve">. The American Statistician 70, 129–133.</w:t>
      </w:r>
      <w:r>
        <w:t xml:space="preserve"> </w:t>
      </w:r>
      <w:hyperlink r:id="rId105">
        <w:r>
          <w:rPr>
            <w:rStyle w:val="Hyperlink"/>
          </w:rPr>
          <w:t xml:space="preserve">https://doi.org/10.1080/00031305.2016.1154108</w:t>
        </w:r>
      </w:hyperlink>
    </w:p>
    <w:bookmarkEnd w:id="106"/>
    <w:bookmarkStart w:id="108" w:name="ref-wasserstein_schirm_lazar_2019"/>
    <w:p>
      <w:pPr>
        <w:pStyle w:val="Bibliography"/>
      </w:pPr>
      <w:r>
        <w:t xml:space="preserve">Wasserstein, R.L., Schirm, A.L., Lazar, N.A., 2019. Moving to a world beyond</w:t>
      </w:r>
      <w:r>
        <w:t xml:space="preserve"> </w:t>
      </w:r>
      <w:r>
        <w:t xml:space="preserve">“p &lt; 0.05.”</w:t>
      </w:r>
      <w:r>
        <w:t xml:space="preserve"> </w:t>
      </w:r>
      <w:r>
        <w:t xml:space="preserve">The American Statistician 73, 1–19.</w:t>
      </w:r>
      <w:r>
        <w:t xml:space="preserve"> </w:t>
      </w:r>
      <w:hyperlink r:id="rId107">
        <w:r>
          <w:rPr>
            <w:rStyle w:val="Hyperlink"/>
          </w:rPr>
          <w:t xml:space="preserve">https://doi.org/10.1080/00031305.2019.1583913</w:t>
        </w:r>
      </w:hyperlink>
    </w:p>
    <w:bookmarkEnd w:id="108"/>
    <w:bookmarkStart w:id="110" w:name="ref-wicherts2011"/>
    <w:p>
      <w:pPr>
        <w:pStyle w:val="Bibliography"/>
      </w:pPr>
      <w:r>
        <w:t xml:space="preserve">Wicherts, J.M., Bakker, M., Molenaar, D., 2011. Willingness to share research data is related to the strength of the evidence and the quality of reporting of statistical results. PLOS ONE 6, e26828.</w:t>
      </w:r>
      <w:r>
        <w:t xml:space="preserve"> </w:t>
      </w:r>
      <w:hyperlink r:id="rId109">
        <w:r>
          <w:rPr>
            <w:rStyle w:val="Hyperlink"/>
          </w:rPr>
          <w:t xml:space="preserve">https://doi.org/10.1371/journal.pone.0026828</w:t>
        </w:r>
      </w:hyperlink>
    </w:p>
    <w:bookmarkEnd w:id="110"/>
    <w:bookmarkStart w:id="112" w:name="ref-wicherts_degrees_2016"/>
    <w:p>
      <w:pPr>
        <w:pStyle w:val="Bibliography"/>
      </w:pPr>
      <w:r>
        <w:t xml:space="preserve">Wicherts, J.M., Veldkamp, C.L.S., Augusteijn, H.E.M., Bakker, M., Aert, R.C.M. van, Assen, M.A.L.M. van, 2016. Degrees of</w:t>
      </w:r>
      <w:r>
        <w:t xml:space="preserve"> </w:t>
      </w:r>
      <w:r>
        <w:t xml:space="preserve">Freedom</w:t>
      </w:r>
      <w:r>
        <w:t xml:space="preserve"> </w:t>
      </w:r>
      <w:r>
        <w:t xml:space="preserve">in</w:t>
      </w:r>
      <w:r>
        <w:t xml:space="preserve"> </w:t>
      </w:r>
      <w:r>
        <w:t xml:space="preserve">Planning</w:t>
      </w:r>
      <w:r>
        <w:t xml:space="preserve">,</w:t>
      </w:r>
      <w:r>
        <w:t xml:space="preserve"> </w:t>
      </w:r>
      <w:r>
        <w:t xml:space="preserve">Running</w:t>
      </w:r>
      <w:r>
        <w:t xml:space="preserve">,</w:t>
      </w:r>
      <w:r>
        <w:t xml:space="preserve"> </w:t>
      </w:r>
      <w:r>
        <w:t xml:space="preserve">Analyzing</w:t>
      </w:r>
      <w:r>
        <w:t xml:space="preserve">, and</w:t>
      </w:r>
      <w:r>
        <w:t xml:space="preserve"> </w:t>
      </w:r>
      <w:r>
        <w:t xml:space="preserve">Reporting</w:t>
      </w:r>
      <w:r>
        <w:t xml:space="preserve"> </w:t>
      </w:r>
      <w:r>
        <w:t xml:space="preserve">Psychological</w:t>
      </w:r>
      <w:r>
        <w:t xml:space="preserve"> </w:t>
      </w:r>
      <w:r>
        <w:t xml:space="preserve">Studies</w:t>
      </w:r>
      <w:r>
        <w:t xml:space="preserve">:</w:t>
      </w:r>
      <w:r>
        <w:t xml:space="preserve"> </w:t>
      </w:r>
      <w:r>
        <w:t xml:space="preserve">A</w:t>
      </w:r>
      <w:r>
        <w:t xml:space="preserve"> </w:t>
      </w:r>
      <w:r>
        <w:t xml:space="preserve">Checklist</w:t>
      </w:r>
      <w:r>
        <w:t xml:space="preserve"> </w:t>
      </w:r>
      <w:r>
        <w:t xml:space="preserve">to</w:t>
      </w:r>
      <w:r>
        <w:t xml:space="preserve"> </w:t>
      </w:r>
      <w:r>
        <w:t xml:space="preserve">Avoid</w:t>
      </w:r>
      <w:r>
        <w:t xml:space="preserve"> </w:t>
      </w:r>
      <w:r>
        <w:t xml:space="preserve">p-</w:t>
      </w:r>
      <w:r>
        <w:t xml:space="preserve">Hacking</w:t>
      </w:r>
      <w:r>
        <w:t xml:space="preserve">. Frontiers in Psychology 7, 1832.</w:t>
      </w:r>
      <w:r>
        <w:t xml:space="preserve"> </w:t>
      </w:r>
      <w:hyperlink r:id="rId111">
        <w:r>
          <w:rPr>
            <w:rStyle w:val="Hyperlink"/>
          </w:rPr>
          <w:t xml:space="preserve">https://doi.org/10.3389/fpsyg.2016.01832</w:t>
        </w:r>
      </w:hyperlink>
    </w:p>
    <w:bookmarkEnd w:id="112"/>
    <w:bookmarkStart w:id="114" w:name="ref-R-stringr"/>
    <w:p>
      <w:pPr>
        <w:pStyle w:val="Bibliography"/>
      </w:pPr>
      <w:r>
        <w:t xml:space="preserve">Wickham, H., 2025.</w:t>
      </w:r>
      <w:r>
        <w:t xml:space="preserve"> </w:t>
      </w:r>
      <w:hyperlink r:id="rId113">
        <w:r>
          <w:rPr>
            <w:rStyle w:val="Hyperlink"/>
          </w:rPr>
          <w:t xml:space="preserve">Stringr: Simple, consistent wrappers for common string operations</w:t>
        </w:r>
      </w:hyperlink>
      <w:r>
        <w:t xml:space="preserve">.</w:t>
      </w:r>
    </w:p>
    <w:bookmarkEnd w:id="114"/>
    <w:bookmarkStart w:id="116" w:name="ref-R-readxl"/>
    <w:p>
      <w:pPr>
        <w:pStyle w:val="Bibliography"/>
      </w:pPr>
      <w:r>
        <w:t xml:space="preserve">Wickham, H., Bryan, J., 2025.</w:t>
      </w:r>
      <w:r>
        <w:t xml:space="preserve"> </w:t>
      </w:r>
      <w:hyperlink r:id="rId115">
        <w:r>
          <w:rPr>
            <w:rStyle w:val="Hyperlink"/>
          </w:rPr>
          <w:t xml:space="preserve">Readxl: Read excel files</w:t>
        </w:r>
      </w:hyperlink>
      <w:r>
        <w:t xml:space="preserve">.</w:t>
      </w:r>
    </w:p>
    <w:bookmarkEnd w:id="116"/>
    <w:bookmarkStart w:id="118" w:name="ref-R-dplyr"/>
    <w:p>
      <w:pPr>
        <w:pStyle w:val="Bibliography"/>
      </w:pPr>
      <w:r>
        <w:t xml:space="preserve">Wickham, H., François, R., Henry, L., Müller, K., Vaughan, D., 2026a.</w:t>
      </w:r>
      <w:r>
        <w:t xml:space="preserve"> </w:t>
      </w:r>
      <w:hyperlink r:id="rId117">
        <w:r>
          <w:rPr>
            <w:rStyle w:val="Hyperlink"/>
          </w:rPr>
          <w:t xml:space="preserve">Dplyr: A grammar of data manipulation</w:t>
        </w:r>
      </w:hyperlink>
      <w:r>
        <w:t xml:space="preserve">.</w:t>
      </w:r>
    </w:p>
    <w:bookmarkEnd w:id="118"/>
    <w:bookmarkStart w:id="120" w:name="ref-R-readr"/>
    <w:p>
      <w:pPr>
        <w:pStyle w:val="Bibliography"/>
      </w:pPr>
      <w:r>
        <w:t xml:space="preserve">Wickham, H., Hester, J., Bryan, J., 2026b.</w:t>
      </w:r>
      <w:r>
        <w:t xml:space="preserve"> </w:t>
      </w:r>
      <w:hyperlink r:id="rId119">
        <w:r>
          <w:rPr>
            <w:rStyle w:val="Hyperlink"/>
          </w:rPr>
          <w:t xml:space="preserve">Readr: Read rectangular text data</w:t>
        </w:r>
      </w:hyperlink>
      <w:r>
        <w:t xml:space="preserve">.</w:t>
      </w:r>
    </w:p>
    <w:bookmarkEnd w:id="120"/>
    <w:bookmarkStart w:id="122" w:name="ref-R-scales"/>
    <w:p>
      <w:pPr>
        <w:pStyle w:val="Bibliography"/>
      </w:pPr>
      <w:r>
        <w:t xml:space="preserve">Wickham, H., Pedersen, T.L., Seidel, D., 2025a.</w:t>
      </w:r>
      <w:r>
        <w:t xml:space="preserve"> </w:t>
      </w:r>
      <w:hyperlink r:id="rId121">
        <w:r>
          <w:rPr>
            <w:rStyle w:val="Hyperlink"/>
          </w:rPr>
          <w:t xml:space="preserve">Scales: Scale functions for visualization</w:t>
        </w:r>
      </w:hyperlink>
      <w:r>
        <w:t xml:space="preserve">.</w:t>
      </w:r>
    </w:p>
    <w:bookmarkEnd w:id="122"/>
    <w:bookmarkStart w:id="124" w:name="ref-R-tidyr"/>
    <w:p>
      <w:pPr>
        <w:pStyle w:val="Bibliography"/>
      </w:pPr>
      <w:r>
        <w:t xml:space="preserve">Wickham, H., Vaughan, D., Girlich, M., 2025b.</w:t>
      </w:r>
      <w:r>
        <w:t xml:space="preserve"> </w:t>
      </w:r>
      <w:hyperlink r:id="rId123">
        <w:r>
          <w:rPr>
            <w:rStyle w:val="Hyperlink"/>
          </w:rPr>
          <w:t xml:space="preserve">Tidyr: Tidy messy data</w:t>
        </w:r>
      </w:hyperlink>
      <w:r>
        <w:t xml:space="preserve">.</w:t>
      </w:r>
    </w:p>
    <w:bookmarkEnd w:id="124"/>
    <w:bookmarkStart w:id="126" w:name="ref-wilkinson_fair_2016"/>
    <w:p>
      <w:pPr>
        <w:pStyle w:val="Bibliography"/>
      </w:pPr>
      <w:r>
        <w:t xml:space="preserve">Wilkinson, M.D., Dumontier, M., Aalbersberg, Ij.J., Appleton, G., Axton, M., Baak, A., Blomberg, N., Boiten, J.-W., Silva Santos, L.B. da, Bourne, P.E., others</w:t>
      </w:r>
      <w:r>
        <w:t xml:space="preserve">, 2016. The</w:t>
      </w:r>
      <w:r>
        <w:t xml:space="preserve"> </w:t>
      </w:r>
      <w:r>
        <w:t xml:space="preserve">FAIR</w:t>
      </w:r>
      <w:r>
        <w:t xml:space="preserve"> </w:t>
      </w:r>
      <w:r>
        <w:t xml:space="preserve">Guiding</w:t>
      </w:r>
      <w:r>
        <w:t xml:space="preserve"> </w:t>
      </w:r>
      <w:r>
        <w:t xml:space="preserve">Principles</w:t>
      </w:r>
      <w:r>
        <w:t xml:space="preserve"> </w:t>
      </w:r>
      <w:r>
        <w:t xml:space="preserve">for scientific data management and stewardship. Scientific Data 3, 160018.</w:t>
      </w:r>
      <w:r>
        <w:t xml:space="preserve"> </w:t>
      </w:r>
      <w:hyperlink r:id="rId125">
        <w:r>
          <w:rPr>
            <w:rStyle w:val="Hyperlink"/>
          </w:rPr>
          <w:t xml:space="preserve">https://doi.org/10.1038/sdata.2016.18</w:t>
        </w:r>
      </w:hyperlink>
    </w:p>
    <w:bookmarkEnd w:id="126"/>
    <w:bookmarkStart w:id="128" w:name="ref-R-knitr"/>
    <w:p>
      <w:pPr>
        <w:pStyle w:val="Bibliography"/>
      </w:pPr>
      <w:r>
        <w:t xml:space="preserve">Xie, Y., 2025.</w:t>
      </w:r>
      <w:r>
        <w:t xml:space="preserve"> </w:t>
      </w:r>
      <w:hyperlink r:id="rId127">
        <w:r>
          <w:rPr>
            <w:rStyle w:val="Hyperlink"/>
          </w:rPr>
          <w:t xml:space="preserve">Knitr: A general-purpose package for dynamic report generation in r</w:t>
        </w:r>
      </w:hyperlink>
      <w:r>
        <w:t xml:space="preserve">.</w:t>
      </w:r>
    </w:p>
    <w:bookmarkEnd w:id="128"/>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1" Target="https://ardata-fr.github.io/flextable-book/" TargetMode="External" /><Relationship Type="http://schemas.openxmlformats.org/officeDocument/2006/relationships/hyperlink" Id="rId93" Target="https://doi.org/10.1002/jrsm.1408" TargetMode="External" /><Relationship Type="http://schemas.openxmlformats.org/officeDocument/2006/relationships/hyperlink" Id="rId63" Target="https://doi.org/10.1007/s10654-016-0149-3" TargetMode="External" /><Relationship Type="http://schemas.openxmlformats.org/officeDocument/2006/relationships/hyperlink" Id="rId44" Target="https://doi.org/10.1007/s40279-019-01227-1" TargetMode="External" /><Relationship Type="http://schemas.openxmlformats.org/officeDocument/2006/relationships/hyperlink" Id="rId85" Target="https://doi.org/10.1007/s40279-022-01749-1" TargetMode="External" /><Relationship Type="http://schemas.openxmlformats.org/officeDocument/2006/relationships/hyperlink" Id="rId38" Target="https://doi.org/10.1016/j.jsams.2023.03.002" TargetMode="External" /><Relationship Type="http://schemas.openxmlformats.org/officeDocument/2006/relationships/hyperlink" Id="rId48" Target="https://doi.org/10.1037/a0015972" TargetMode="External" /><Relationship Type="http://schemas.openxmlformats.org/officeDocument/2006/relationships/hyperlink" Id="rId34" Target="https://doi.org/10.1037/amp0000191" TargetMode="External" /><Relationship Type="http://schemas.openxmlformats.org/officeDocument/2006/relationships/hyperlink" Id="rId32" Target="https://doi.org/10.1037/met0000051" TargetMode="External" /><Relationship Type="http://schemas.openxmlformats.org/officeDocument/2006/relationships/hyperlink" Id="rId30" Target="https://doi.org/10.1038/d41586-019-00857-9" TargetMode="External" /><Relationship Type="http://schemas.openxmlformats.org/officeDocument/2006/relationships/hyperlink" Id="rId54" Target="https://doi.org/10.1038/s41467-023-41111-1" TargetMode="External" /><Relationship Type="http://schemas.openxmlformats.org/officeDocument/2006/relationships/hyperlink" Id="rId59" Target="https://doi.org/10.1038/s41746-023-00927-3" TargetMode="External" /><Relationship Type="http://schemas.openxmlformats.org/officeDocument/2006/relationships/hyperlink" Id="rId125" Target="https://doi.org/10.1038/sdata.2016.18" TargetMode="External" /><Relationship Type="http://schemas.openxmlformats.org/officeDocument/2006/relationships/hyperlink" Id="rId105" Target="https://doi.org/10.1080/00031305.2016.1154108" TargetMode="External" /><Relationship Type="http://schemas.openxmlformats.org/officeDocument/2006/relationships/hyperlink" Id="rId107" Target="https://doi.org/10.1080/00031305.2019.1583913" TargetMode="External" /><Relationship Type="http://schemas.openxmlformats.org/officeDocument/2006/relationships/hyperlink" Id="rId79" Target="https://doi.org/10.1080/02640414.2023.2269357" TargetMode="External" /><Relationship Type="http://schemas.openxmlformats.org/officeDocument/2006/relationships/hyperlink" Id="rId71" Target="https://doi.org/10.1080/14763141.2016.1246603" TargetMode="External" /><Relationship Type="http://schemas.openxmlformats.org/officeDocument/2006/relationships/hyperlink" Id="rId65" Target="https://doi.org/10.1098/rsbl.2019.0174" TargetMode="External" /><Relationship Type="http://schemas.openxmlformats.org/officeDocument/2006/relationships/hyperlink" Id="rId87" Target="https://doi.org/10.1126/science.aab2374" TargetMode="External" /><Relationship Type="http://schemas.openxmlformats.org/officeDocument/2006/relationships/hyperlink" Id="rId46" Target="https://doi.org/10.1177/0956797613504966" TargetMode="External" /><Relationship Type="http://schemas.openxmlformats.org/officeDocument/2006/relationships/hyperlink" Id="rId67" Target="https://doi.org/10.1177/1745691620979806" TargetMode="External" /><Relationship Type="http://schemas.openxmlformats.org/officeDocument/2006/relationships/hyperlink" Id="rId75" Target="https://doi.org/10.1177/1948550617697177" TargetMode="External" /><Relationship Type="http://schemas.openxmlformats.org/officeDocument/2006/relationships/hyperlink" Id="rId97" Target="https://doi.org/10.1249/MSS.0000000000001645" TargetMode="External" /><Relationship Type="http://schemas.openxmlformats.org/officeDocument/2006/relationships/hyperlink" Id="rId109" Target="https://doi.org/10.1371/journal.pone.0026828" TargetMode="External" /><Relationship Type="http://schemas.openxmlformats.org/officeDocument/2006/relationships/hyperlink" Id="rId103" Target="https://doi.org/10.1371/journal.pone.0114876" TargetMode="External" /><Relationship Type="http://schemas.openxmlformats.org/officeDocument/2006/relationships/hyperlink" Id="rId57" Target="https://doi.org/10.2337/dc24-1483" TargetMode="External" /><Relationship Type="http://schemas.openxmlformats.org/officeDocument/2006/relationships/hyperlink" Id="rId99" Target="https://doi.org/10.31234/osf.io/hr6qy" TargetMode="External" /><Relationship Type="http://schemas.openxmlformats.org/officeDocument/2006/relationships/hyperlink" Id="rId89" Target="https://doi.org/10.31234/osf.io/tcxaj" TargetMode="External" /><Relationship Type="http://schemas.openxmlformats.org/officeDocument/2006/relationships/hyperlink" Id="rId40" Target="https://doi.org/10.31236/osf.io/ftdgj" TargetMode="External" /><Relationship Type="http://schemas.openxmlformats.org/officeDocument/2006/relationships/hyperlink" Id="rId28" Target="https://doi.org/10.32614/CRAN.package.quarto" TargetMode="External" /><Relationship Type="http://schemas.openxmlformats.org/officeDocument/2006/relationships/hyperlink" Id="rId77" Target="https://doi.org/10.3389/fpsyg.2013.00863" TargetMode="External" /><Relationship Type="http://schemas.openxmlformats.org/officeDocument/2006/relationships/hyperlink" Id="rId111" Target="https://doi.org/10.3389/fpsyg.2016.01832" TargetMode="External" /><Relationship Type="http://schemas.openxmlformats.org/officeDocument/2006/relationships/hyperlink" Id="rId69" Target="https://doi.org/10.3390/data1030014" TargetMode="External" /><Relationship Type="http://schemas.openxmlformats.org/officeDocument/2006/relationships/hyperlink" Id="rId36" Target="https://doi.org/10.3758/s13428-011-0089-5" TargetMode="External" /><Relationship Type="http://schemas.openxmlformats.org/officeDocument/2006/relationships/hyperlink" Id="rId95" Target="https://doi.org/10.3758/s13428-015-0664-2" TargetMode="External" /><Relationship Type="http://schemas.openxmlformats.org/officeDocument/2006/relationships/hyperlink" Id="rId101" Target="https://doi.org/10.51224/cik.v1i3.43" TargetMode="External" /><Relationship Type="http://schemas.openxmlformats.org/officeDocument/2006/relationships/hyperlink" Id="rId73" Target="https://doi.org/10.5281/ZENODO.6409077" TargetMode="External" /><Relationship Type="http://schemas.openxmlformats.org/officeDocument/2006/relationships/hyperlink" Id="rId50" Target="https://doi.org/10.5281/zenodo.20704754" TargetMode="External" /><Relationship Type="http://schemas.openxmlformats.org/officeDocument/2006/relationships/hyperlink" Id="rId52" Target="https://doi.org/10.7554/eLife.23693" TargetMode="External" /><Relationship Type="http://schemas.openxmlformats.org/officeDocument/2006/relationships/hyperlink" Id="rId42" Target="https://doi.org/10.7717/peerj.10314" TargetMode="External" /><Relationship Type="http://schemas.openxmlformats.org/officeDocument/2006/relationships/hyperlink" Id="rId117" Target="https://dplyr.tidyverse.org" TargetMode="External" /><Relationship Type="http://schemas.openxmlformats.org/officeDocument/2006/relationships/hyperlink" Id="rId91" Target="https://github.com/MicheleNuijten/statcheck" TargetMode="External" /><Relationship Type="http://schemas.openxmlformats.org/officeDocument/2006/relationships/hyperlink" Id="rId81" Target="https://here.r-lib.org/" TargetMode="External" /><Relationship Type="http://schemas.openxmlformats.org/officeDocument/2006/relationships/hyperlink" Id="rId15" Target="https://osf.io/mqbr2/" TargetMode="External" /><Relationship Type="http://schemas.openxmlformats.org/officeDocument/2006/relationships/hyperlink" Id="rId119" Target="https://readr.tidyverse.org" TargetMode="External" /><Relationship Type="http://schemas.openxmlformats.org/officeDocument/2006/relationships/hyperlink" Id="rId115" Target="https://readxl.tidyverse.org" TargetMode="External" /><Relationship Type="http://schemas.openxmlformats.org/officeDocument/2006/relationships/hyperlink" Id="rId121" Target="https://scales.r-lib.org" TargetMode="External" /><Relationship Type="http://schemas.openxmlformats.org/officeDocument/2006/relationships/hyperlink" Id="rId113" Target="https://stringr.tidyverse.org" TargetMode="External" /><Relationship Type="http://schemas.openxmlformats.org/officeDocument/2006/relationships/hyperlink" Id="rId83" Target="https://tibble.tidyverse.org/" TargetMode="External" /><Relationship Type="http://schemas.openxmlformats.org/officeDocument/2006/relationships/hyperlink" Id="rId123" Target="https://tidyr.tidyverse.org" TargetMode="External" /><Relationship Type="http://schemas.openxmlformats.org/officeDocument/2006/relationships/hyperlink" Id="rId13" Target="https://www.scienceverse.org/metacheck/" TargetMode="External" /><Relationship Type="http://schemas.openxmlformats.org/officeDocument/2006/relationships/hyperlink" Id="rId127"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61" Target="https://ardata-fr.github.io/flextable-book/" TargetMode="External" /><Relationship Type="http://schemas.openxmlformats.org/officeDocument/2006/relationships/hyperlink" Id="rId93" Target="https://doi.org/10.1002/jrsm.1408" TargetMode="External" /><Relationship Type="http://schemas.openxmlformats.org/officeDocument/2006/relationships/hyperlink" Id="rId63" Target="https://doi.org/10.1007/s10654-016-0149-3" TargetMode="External" /><Relationship Type="http://schemas.openxmlformats.org/officeDocument/2006/relationships/hyperlink" Id="rId44" Target="https://doi.org/10.1007/s40279-019-01227-1" TargetMode="External" /><Relationship Type="http://schemas.openxmlformats.org/officeDocument/2006/relationships/hyperlink" Id="rId85" Target="https://doi.org/10.1007/s40279-022-01749-1" TargetMode="External" /><Relationship Type="http://schemas.openxmlformats.org/officeDocument/2006/relationships/hyperlink" Id="rId38" Target="https://doi.org/10.1016/j.jsams.2023.03.002" TargetMode="External" /><Relationship Type="http://schemas.openxmlformats.org/officeDocument/2006/relationships/hyperlink" Id="rId48" Target="https://doi.org/10.1037/a0015972" TargetMode="External" /><Relationship Type="http://schemas.openxmlformats.org/officeDocument/2006/relationships/hyperlink" Id="rId34" Target="https://doi.org/10.1037/amp0000191" TargetMode="External" /><Relationship Type="http://schemas.openxmlformats.org/officeDocument/2006/relationships/hyperlink" Id="rId32" Target="https://doi.org/10.1037/met0000051" TargetMode="External" /><Relationship Type="http://schemas.openxmlformats.org/officeDocument/2006/relationships/hyperlink" Id="rId30" Target="https://doi.org/10.1038/d41586-019-00857-9" TargetMode="External" /><Relationship Type="http://schemas.openxmlformats.org/officeDocument/2006/relationships/hyperlink" Id="rId54" Target="https://doi.org/10.1038/s41467-023-41111-1" TargetMode="External" /><Relationship Type="http://schemas.openxmlformats.org/officeDocument/2006/relationships/hyperlink" Id="rId59" Target="https://doi.org/10.1038/s41746-023-00927-3" TargetMode="External" /><Relationship Type="http://schemas.openxmlformats.org/officeDocument/2006/relationships/hyperlink" Id="rId125" Target="https://doi.org/10.1038/sdata.2016.18" TargetMode="External" /><Relationship Type="http://schemas.openxmlformats.org/officeDocument/2006/relationships/hyperlink" Id="rId105" Target="https://doi.org/10.1080/00031305.2016.1154108" TargetMode="External" /><Relationship Type="http://schemas.openxmlformats.org/officeDocument/2006/relationships/hyperlink" Id="rId107" Target="https://doi.org/10.1080/00031305.2019.1583913" TargetMode="External" /><Relationship Type="http://schemas.openxmlformats.org/officeDocument/2006/relationships/hyperlink" Id="rId79" Target="https://doi.org/10.1080/02640414.2023.2269357" TargetMode="External" /><Relationship Type="http://schemas.openxmlformats.org/officeDocument/2006/relationships/hyperlink" Id="rId71" Target="https://doi.org/10.1080/14763141.2016.1246603" TargetMode="External" /><Relationship Type="http://schemas.openxmlformats.org/officeDocument/2006/relationships/hyperlink" Id="rId65" Target="https://doi.org/10.1098/rsbl.2019.0174" TargetMode="External" /><Relationship Type="http://schemas.openxmlformats.org/officeDocument/2006/relationships/hyperlink" Id="rId87" Target="https://doi.org/10.1126/science.aab2374" TargetMode="External" /><Relationship Type="http://schemas.openxmlformats.org/officeDocument/2006/relationships/hyperlink" Id="rId46" Target="https://doi.org/10.1177/0956797613504966" TargetMode="External" /><Relationship Type="http://schemas.openxmlformats.org/officeDocument/2006/relationships/hyperlink" Id="rId67" Target="https://doi.org/10.1177/1745691620979806" TargetMode="External" /><Relationship Type="http://schemas.openxmlformats.org/officeDocument/2006/relationships/hyperlink" Id="rId75" Target="https://doi.org/10.1177/1948550617697177" TargetMode="External" /><Relationship Type="http://schemas.openxmlformats.org/officeDocument/2006/relationships/hyperlink" Id="rId97" Target="https://doi.org/10.1249/MSS.0000000000001645" TargetMode="External" /><Relationship Type="http://schemas.openxmlformats.org/officeDocument/2006/relationships/hyperlink" Id="rId109" Target="https://doi.org/10.1371/journal.pone.0026828" TargetMode="External" /><Relationship Type="http://schemas.openxmlformats.org/officeDocument/2006/relationships/hyperlink" Id="rId103" Target="https://doi.org/10.1371/journal.pone.0114876" TargetMode="External" /><Relationship Type="http://schemas.openxmlformats.org/officeDocument/2006/relationships/hyperlink" Id="rId57" Target="https://doi.org/10.2337/dc24-1483" TargetMode="External" /><Relationship Type="http://schemas.openxmlformats.org/officeDocument/2006/relationships/hyperlink" Id="rId99" Target="https://doi.org/10.31234/osf.io/hr6qy" TargetMode="External" /><Relationship Type="http://schemas.openxmlformats.org/officeDocument/2006/relationships/hyperlink" Id="rId89" Target="https://doi.org/10.31234/osf.io/tcxaj" TargetMode="External" /><Relationship Type="http://schemas.openxmlformats.org/officeDocument/2006/relationships/hyperlink" Id="rId40" Target="https://doi.org/10.31236/osf.io/ftdgj" TargetMode="External" /><Relationship Type="http://schemas.openxmlformats.org/officeDocument/2006/relationships/hyperlink" Id="rId28" Target="https://doi.org/10.32614/CRAN.package.quarto" TargetMode="External" /><Relationship Type="http://schemas.openxmlformats.org/officeDocument/2006/relationships/hyperlink" Id="rId77" Target="https://doi.org/10.3389/fpsyg.2013.00863" TargetMode="External" /><Relationship Type="http://schemas.openxmlformats.org/officeDocument/2006/relationships/hyperlink" Id="rId111" Target="https://doi.org/10.3389/fpsyg.2016.01832" TargetMode="External" /><Relationship Type="http://schemas.openxmlformats.org/officeDocument/2006/relationships/hyperlink" Id="rId69" Target="https://doi.org/10.3390/data1030014" TargetMode="External" /><Relationship Type="http://schemas.openxmlformats.org/officeDocument/2006/relationships/hyperlink" Id="rId36" Target="https://doi.org/10.3758/s13428-011-0089-5" TargetMode="External" /><Relationship Type="http://schemas.openxmlformats.org/officeDocument/2006/relationships/hyperlink" Id="rId95" Target="https://doi.org/10.3758/s13428-015-0664-2" TargetMode="External" /><Relationship Type="http://schemas.openxmlformats.org/officeDocument/2006/relationships/hyperlink" Id="rId101" Target="https://doi.org/10.51224/cik.v1i3.43" TargetMode="External" /><Relationship Type="http://schemas.openxmlformats.org/officeDocument/2006/relationships/hyperlink" Id="rId73" Target="https://doi.org/10.5281/ZENODO.6409077" TargetMode="External" /><Relationship Type="http://schemas.openxmlformats.org/officeDocument/2006/relationships/hyperlink" Id="rId50" Target="https://doi.org/10.5281/zenodo.20704754" TargetMode="External" /><Relationship Type="http://schemas.openxmlformats.org/officeDocument/2006/relationships/hyperlink" Id="rId52" Target="https://doi.org/10.7554/eLife.23693" TargetMode="External" /><Relationship Type="http://schemas.openxmlformats.org/officeDocument/2006/relationships/hyperlink" Id="rId42" Target="https://doi.org/10.7717/peerj.10314" TargetMode="External" /><Relationship Type="http://schemas.openxmlformats.org/officeDocument/2006/relationships/hyperlink" Id="rId117" Target="https://dplyr.tidyverse.org" TargetMode="External" /><Relationship Type="http://schemas.openxmlformats.org/officeDocument/2006/relationships/hyperlink" Id="rId91" Target="https://github.com/MicheleNuijten/statcheck" TargetMode="External" /><Relationship Type="http://schemas.openxmlformats.org/officeDocument/2006/relationships/hyperlink" Id="rId81" Target="https://here.r-lib.org/" TargetMode="External" /><Relationship Type="http://schemas.openxmlformats.org/officeDocument/2006/relationships/hyperlink" Id="rId15" Target="https://osf.io/mqbr2/" TargetMode="External" /><Relationship Type="http://schemas.openxmlformats.org/officeDocument/2006/relationships/hyperlink" Id="rId119" Target="https://readr.tidyverse.org" TargetMode="External" /><Relationship Type="http://schemas.openxmlformats.org/officeDocument/2006/relationships/hyperlink" Id="rId115" Target="https://readxl.tidyverse.org" TargetMode="External" /><Relationship Type="http://schemas.openxmlformats.org/officeDocument/2006/relationships/hyperlink" Id="rId121" Target="https://scales.r-lib.org" TargetMode="External" /><Relationship Type="http://schemas.openxmlformats.org/officeDocument/2006/relationships/hyperlink" Id="rId113" Target="https://stringr.tidyverse.org" TargetMode="External" /><Relationship Type="http://schemas.openxmlformats.org/officeDocument/2006/relationships/hyperlink" Id="rId83" Target="https://tibble.tidyverse.org/" TargetMode="External" /><Relationship Type="http://schemas.openxmlformats.org/officeDocument/2006/relationships/hyperlink" Id="rId123" Target="https://tidyr.tidyverse.org" TargetMode="External" /><Relationship Type="http://schemas.openxmlformats.org/officeDocument/2006/relationships/hyperlink" Id="rId13" Target="https://www.scienceverse.org/metacheck/" TargetMode="External" /><Relationship Type="http://schemas.openxmlformats.org/officeDocument/2006/relationships/hyperlink" Id="rId127" Target="https://yihui.org/kni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reporting practices, p value reproducibility, and data sharing in 350 sport and exercise science studies: a manual and automated audit</dc:title>
  <dc:creator>Joe Warne¹; Jennifer Murphy²; Daniël Lakens³; Cristian Mesquida³</dc:creator>
  <cp:keywords/>
  <dcterms:created xsi:type="dcterms:W3CDTF">2026-09-28T13:16:05Z</dcterms:created>
  <dcterms:modified xsi:type="dcterms:W3CDTF">2026-09-28T13:16:05Z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elsevier-harvard.csl</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toc-title">
    <vt:lpwstr>Table of contents</vt:lpwstr>
  </property>
</Properties>
</file>