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7F37" w:rsidRPr="00E947C7" w:rsidRDefault="00000000" w:rsidP="00E947C7">
      <w:pPr>
        <w:pStyle w:val="Title"/>
        <w:spacing w:line="360" w:lineRule="auto"/>
        <w:rPr>
          <w:rFonts w:ascii="Times New Roman" w:hAnsi="Times New Roman" w:cs="Times New Roman"/>
        </w:rPr>
      </w:pPr>
      <w:r w:rsidRPr="00E947C7">
        <w:rPr>
          <w:rFonts w:ascii="Times New Roman" w:hAnsi="Times New Roman" w:cs="Times New Roman"/>
        </w:rPr>
        <w:t>Supplemental material</w:t>
      </w:r>
    </w:p>
    <w:p w:rsidR="009B7F37" w:rsidRPr="00296F4B" w:rsidRDefault="00000000" w:rsidP="00E947C7">
      <w:pPr>
        <w:pStyle w:val="Heading2"/>
        <w:spacing w:line="360" w:lineRule="auto"/>
        <w:jc w:val="both"/>
        <w:rPr>
          <w:rFonts w:ascii="Times New Roman" w:hAnsi="Times New Roman" w:cs="Times New Roman"/>
          <w:color w:val="000000" w:themeColor="text1"/>
        </w:rPr>
      </w:pPr>
      <w:bookmarkStart w:id="0" w:name="example-of-extremely-large-effect-size"/>
      <w:r w:rsidRPr="00296F4B">
        <w:rPr>
          <w:rFonts w:ascii="Times New Roman" w:hAnsi="Times New Roman" w:cs="Times New Roman"/>
          <w:color w:val="000000" w:themeColor="text1"/>
        </w:rPr>
        <w:t>Example of extremely large effect size</w:t>
      </w:r>
    </w:p>
    <w:p w:rsidR="009B7F37" w:rsidRPr="00E947C7" w:rsidRDefault="00000000" w:rsidP="00E947C7">
      <w:pPr>
        <w:pStyle w:val="FirstParagraph"/>
        <w:spacing w:line="360" w:lineRule="auto"/>
        <w:jc w:val="both"/>
        <w:rPr>
          <w:rFonts w:ascii="Times New Roman" w:hAnsi="Times New Roman" w:cs="Times New Roman"/>
        </w:rPr>
      </w:pPr>
      <w:hyperlink w:anchor="fig-fig1.1">
        <w:r w:rsidRPr="00E947C7">
          <w:rPr>
            <w:rStyle w:val="Hyperlink"/>
            <w:rFonts w:ascii="Times New Roman" w:hAnsi="Times New Roman" w:cs="Times New Roman"/>
            <w:b/>
            <w:bCs/>
            <w:color w:val="000000" w:themeColor="text1"/>
          </w:rPr>
          <w:t>Figure 1</w:t>
        </w:r>
      </w:hyperlink>
      <w:r w:rsidRPr="00E947C7">
        <w:rPr>
          <w:rFonts w:ascii="Times New Roman" w:hAnsi="Times New Roman" w:cs="Times New Roman"/>
        </w:rPr>
        <w:t xml:space="preserve"> illustrates that some a priori power analyses report extremely large effect sizes. However, this does not necessarily imply that such large effect sizes are implausible. Certain manipulations can yield very large effect sizes. For example, consider the Cohen’s </w:t>
      </w:r>
      <w:r w:rsidRPr="00E947C7">
        <w:rPr>
          <w:rFonts w:ascii="Times New Roman" w:hAnsi="Times New Roman" w:cs="Times New Roman"/>
          <w:i/>
          <w:iCs/>
        </w:rPr>
        <w:t>d</w:t>
      </w:r>
      <w:r w:rsidRPr="00E947C7">
        <w:rPr>
          <w:rFonts w:ascii="Times New Roman" w:hAnsi="Times New Roman" w:cs="Times New Roman"/>
        </w:rPr>
        <w:t xml:space="preserve"> of 3.18 reported in the study of Takei et al. [1], which was obtained from a within-subject study examining the effect of three hypoxic conditions on power output during 4 x 30-second all-out efforts [2] (</w:t>
      </w:r>
      <w:hyperlink w:anchor="fig-fig1.1">
        <w:r w:rsidRPr="00E947C7">
          <w:rPr>
            <w:rStyle w:val="Hyperlink"/>
            <w:rFonts w:ascii="Times New Roman" w:hAnsi="Times New Roman" w:cs="Times New Roman"/>
            <w:b/>
            <w:bCs/>
            <w:color w:val="000000" w:themeColor="text1"/>
          </w:rPr>
          <w:t>Figure 1</w:t>
        </w:r>
      </w:hyperlink>
      <w:r w:rsidRPr="00E947C7">
        <w:rPr>
          <w:rFonts w:ascii="Times New Roman" w:hAnsi="Times New Roman" w:cs="Times New Roman"/>
        </w:rPr>
        <w:t xml:space="preserve">). This large effect size is plausible as a large decrease in power output over consecutive all-out efforts should be expected. However, whether this effect size was a reasonable justification for the effect size of interest is questionable. The authors aimed to determine whether acute moderate hypoxia, compared to normoxia, had no detrimental effect on power output during 3 x 30-s all-out efforts. To estimate the effect of hypoxia, a direct comparison between the hypoxic condition(s) and the normoxic condition would be necessary. Yet, the calculated Cohen’s </w:t>
      </w:r>
      <w:r w:rsidRPr="00E947C7">
        <w:rPr>
          <w:rFonts w:ascii="Times New Roman" w:hAnsi="Times New Roman" w:cs="Times New Roman"/>
          <w:i/>
          <w:iCs/>
        </w:rPr>
        <w:t>d</w:t>
      </w:r>
      <w:r w:rsidRPr="00E947C7">
        <w:rPr>
          <w:rFonts w:ascii="Times New Roman" w:hAnsi="Times New Roman" w:cs="Times New Roman"/>
        </w:rPr>
        <w:t xml:space="preserve"> of 3.18 corresponds to the effect of all-out efforts</w:t>
      </w:r>
      <w:r w:rsidRPr="00E947C7">
        <w:rPr>
          <w:rStyle w:val="FootnoteReference"/>
          <w:rFonts w:ascii="Times New Roman" w:hAnsi="Times New Roman" w:cs="Times New Roman"/>
        </w:rPr>
        <w:footnoteReference w:id="1"/>
      </w:r>
      <w:r w:rsidRPr="00E947C7">
        <w:rPr>
          <w:rFonts w:ascii="Times New Roman" w:hAnsi="Times New Roman" w:cs="Times New Roman"/>
        </w:rPr>
        <w:t>, not to the effect of hypoxia. The effect of hypoxia would be much smaller than the effect of the all-out efforts since it would correspond to the change in power output from bout 1 to the subsequent bouts between the the hypoxic and normoxic conditions.</w:t>
      </w:r>
    </w:p>
    <w:tbl>
      <w:tblPr>
        <w:tblStyle w:val="Table"/>
        <w:tblW w:w="5000" w:type="pct"/>
        <w:tblLayout w:type="fixed"/>
        <w:tblLook w:val="0000" w:firstRow="0" w:lastRow="0" w:firstColumn="0" w:lastColumn="0" w:noHBand="0" w:noVBand="0"/>
      </w:tblPr>
      <w:tblGrid>
        <w:gridCol w:w="9576"/>
      </w:tblGrid>
      <w:tr w:rsidR="009B7F37" w:rsidRPr="00E947C7">
        <w:tc>
          <w:tcPr>
            <w:tcW w:w="7920" w:type="dxa"/>
          </w:tcPr>
          <w:p w:rsidR="009B7F37" w:rsidRPr="00E947C7" w:rsidRDefault="00000000" w:rsidP="00E947C7">
            <w:pPr>
              <w:pStyle w:val="Compact"/>
              <w:spacing w:line="360" w:lineRule="auto"/>
              <w:jc w:val="center"/>
              <w:rPr>
                <w:rFonts w:ascii="Times New Roman" w:hAnsi="Times New Roman" w:cs="Times New Roman"/>
              </w:rPr>
            </w:pPr>
            <w:bookmarkStart w:id="1" w:name="fig-fig1.1"/>
            <w:r w:rsidRPr="00E947C7">
              <w:rPr>
                <w:rFonts w:ascii="Times New Roman" w:hAnsi="Times New Roman" w:cs="Times New Roman"/>
                <w:noProof/>
              </w:rPr>
              <w:lastRenderedPageBreak/>
              <w:drawing>
                <wp:inline distT="0" distB="0" distL="0" distR="0">
                  <wp:extent cx="4607379" cy="23322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ppendix_files/figure-docx/fig-fig1.1-1.png"/>
                          <pic:cNvPicPr>
                            <a:picLocks noChangeAspect="1" noChangeArrowheads="1"/>
                          </pic:cNvPicPr>
                        </pic:nvPicPr>
                        <pic:blipFill>
                          <a:blip r:embed="rId7"/>
                          <a:stretch>
                            <a:fillRect/>
                          </a:stretch>
                        </pic:blipFill>
                        <pic:spPr bwMode="auto">
                          <a:xfrm>
                            <a:off x="0" y="0"/>
                            <a:ext cx="4640342" cy="2348950"/>
                          </a:xfrm>
                          <a:prstGeom prst="rect">
                            <a:avLst/>
                          </a:prstGeom>
                          <a:noFill/>
                          <a:ln w="9525">
                            <a:noFill/>
                            <a:headEnd/>
                            <a:tailEnd/>
                          </a:ln>
                        </pic:spPr>
                      </pic:pic>
                    </a:graphicData>
                  </a:graphic>
                </wp:inline>
              </w:drawing>
            </w:r>
          </w:p>
          <w:p w:rsidR="009B7F37" w:rsidRPr="00E947C7" w:rsidRDefault="00000000" w:rsidP="00E947C7">
            <w:pPr>
              <w:pStyle w:val="ImageCaption"/>
              <w:spacing w:before="200" w:line="360" w:lineRule="auto"/>
              <w:jc w:val="both"/>
              <w:rPr>
                <w:rFonts w:ascii="Times New Roman" w:hAnsi="Times New Roman" w:cs="Times New Roman"/>
              </w:rPr>
            </w:pPr>
            <w:r w:rsidRPr="00E947C7">
              <w:rPr>
                <w:rFonts w:ascii="Times New Roman" w:hAnsi="Times New Roman" w:cs="Times New Roman"/>
                <w:b/>
                <w:bCs/>
                <w:i w:val="0"/>
                <w:iCs/>
              </w:rPr>
              <w:t>Fig</w:t>
            </w:r>
            <w:r w:rsidR="00E947C7" w:rsidRPr="00E947C7">
              <w:rPr>
                <w:rFonts w:ascii="Times New Roman" w:hAnsi="Times New Roman" w:cs="Times New Roman"/>
                <w:b/>
                <w:bCs/>
                <w:i w:val="0"/>
                <w:iCs/>
              </w:rPr>
              <w:t>.</w:t>
            </w:r>
            <w:r w:rsidRPr="00E947C7">
              <w:rPr>
                <w:rFonts w:ascii="Times New Roman" w:hAnsi="Times New Roman" w:cs="Times New Roman"/>
                <w:b/>
                <w:bCs/>
                <w:i w:val="0"/>
                <w:iCs/>
              </w:rPr>
              <w:t> 1</w:t>
            </w:r>
            <w:r w:rsidR="00E947C7" w:rsidRPr="00E947C7">
              <w:rPr>
                <w:rFonts w:ascii="Times New Roman" w:hAnsi="Times New Roman" w:cs="Times New Roman"/>
                <w:i w:val="0"/>
                <w:iCs/>
              </w:rPr>
              <w:t xml:space="preserve"> </w:t>
            </w:r>
            <w:r w:rsidRPr="00E947C7">
              <w:rPr>
                <w:rFonts w:ascii="Times New Roman" w:hAnsi="Times New Roman" w:cs="Times New Roman"/>
                <w:i w:val="0"/>
                <w:iCs/>
              </w:rPr>
              <w:t xml:space="preserve">Pattern of means reported across 4 bouts and experimental condition. Figure </w:t>
            </w:r>
            <w:r w:rsidR="00E947C7" w:rsidRPr="00E947C7">
              <w:rPr>
                <w:rFonts w:ascii="Times New Roman" w:hAnsi="Times New Roman" w:cs="Times New Roman"/>
                <w:i w:val="0"/>
                <w:iCs/>
              </w:rPr>
              <w:t>1</w:t>
            </w:r>
            <w:r w:rsidRPr="00E947C7">
              <w:rPr>
                <w:rFonts w:ascii="Times New Roman" w:hAnsi="Times New Roman" w:cs="Times New Roman"/>
              </w:rPr>
              <w:t xml:space="preserve"> </w:t>
            </w:r>
            <w:r w:rsidRPr="00E947C7">
              <w:rPr>
                <w:rFonts w:ascii="Times New Roman" w:hAnsi="Times New Roman" w:cs="Times New Roman"/>
                <w:i w:val="0"/>
                <w:iCs/>
              </w:rPr>
              <w:t>has been created using the means reported in Table 1 of the original study (Kon et al. 2015), from which the effect size (3.18) was derived.</w:t>
            </w:r>
          </w:p>
        </w:tc>
        <w:bookmarkEnd w:id="1"/>
      </w:tr>
    </w:tbl>
    <w:p w:rsidR="009B7F37" w:rsidRPr="00E947C7" w:rsidRDefault="00000000" w:rsidP="00E947C7">
      <w:pPr>
        <w:pStyle w:val="BodyText"/>
        <w:spacing w:line="360" w:lineRule="auto"/>
        <w:jc w:val="both"/>
        <w:rPr>
          <w:rFonts w:ascii="Times New Roman" w:hAnsi="Times New Roman" w:cs="Times New Roman"/>
        </w:rPr>
      </w:pPr>
      <w:r w:rsidRPr="00E947C7">
        <w:rPr>
          <w:rFonts w:ascii="Times New Roman" w:hAnsi="Times New Roman" w:cs="Times New Roman"/>
        </w:rPr>
        <w:t xml:space="preserve">Another issue is the lack of adequate justification for the choices researchers make during a priori power analyses. For instance, one study used a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of 0.94 for its a priori power analysis, justifying this choice based on a previous study examining the effect of omitting breakfast on evening endurance performance despite complete dietary compensation at lunch. However, such a large effect size appears implausible given that the overall energy intake and macronutrient profile were identical between conditions. Furthermore, the study from which the effect size was calculated employed a within-subject design and reported that the time taken to complete the time trial in the breakfast trial (465.7 ± 43.3s) was shorter compared with the breakfast omission condition (469.2 ± 43.4s). The original study does not report </w:t>
      </w:r>
      <w:r w:rsidRPr="00E947C7">
        <w:rPr>
          <w:rFonts w:ascii="Times New Roman" w:hAnsi="Times New Roman" w:cs="Times New Roman"/>
          <w:i/>
          <w:iCs/>
        </w:rPr>
        <w:t>t</w:t>
      </w:r>
      <w:r w:rsidRPr="00E947C7">
        <w:rPr>
          <w:rFonts w:ascii="Times New Roman" w:hAnsi="Times New Roman" w:cs="Times New Roman"/>
        </w:rPr>
        <w:t xml:space="preserve">-statistics so it is likely that the authors used equation (8) from Lakens [3], which requires the correlation between measurements to compute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To obtain the reported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of 0.94 using the reported means and standard deviations (SD) requires a correlation of 0.99632 between measurements. The correlation estimate heavily influences the estimated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For example, assuming a correlation of 0.8 and using the same means and SD, equation (8) returns a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of 0.13. An a priori power analysis aimed at detecting a Cohen’s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of 0.13, with a desired statistical power of 80% and </w:t>
      </w:r>
      <m:oMath>
        <m:r>
          <w:rPr>
            <w:rFonts w:ascii="Cambria Math" w:hAnsi="Cambria Math" w:cs="Times New Roman"/>
          </w:rPr>
          <m:t>α</m:t>
        </m:r>
      </m:oMath>
      <w:r w:rsidRPr="00E947C7">
        <w:rPr>
          <w:rFonts w:ascii="Times New Roman" w:hAnsi="Times New Roman" w:cs="Times New Roman"/>
        </w:rPr>
        <w:t xml:space="preserve"> level of 0.05 requires a total sample size of 467 participants as opposed to the sample size of 11 reported in the study in question. The correlation used to determine a sample size of 11 seems highly unrealistic.</w:t>
      </w:r>
    </w:p>
    <w:p w:rsidR="009B7F37" w:rsidRPr="00296F4B" w:rsidRDefault="00000000" w:rsidP="00E947C7">
      <w:pPr>
        <w:pStyle w:val="Heading2"/>
        <w:spacing w:line="360" w:lineRule="auto"/>
        <w:jc w:val="both"/>
        <w:rPr>
          <w:rFonts w:ascii="Times New Roman" w:hAnsi="Times New Roman" w:cs="Times New Roman"/>
          <w:color w:val="000000" w:themeColor="text1"/>
        </w:rPr>
      </w:pPr>
      <w:bookmarkStart w:id="2" w:name="X01430c5f26ed2f293f63f8c7405011cb3b551ee"/>
      <w:bookmarkEnd w:id="0"/>
      <w:r w:rsidRPr="00296F4B">
        <w:rPr>
          <w:rFonts w:ascii="Times New Roman" w:hAnsi="Times New Roman" w:cs="Times New Roman"/>
          <w:color w:val="000000" w:themeColor="text1"/>
        </w:rPr>
        <w:lastRenderedPageBreak/>
        <w:t xml:space="preserve">Estimating an interaction effect size based on a Cohen’s </w:t>
      </w:r>
      <w:r w:rsidRPr="00296F4B">
        <w:rPr>
          <w:rFonts w:ascii="Times New Roman" w:hAnsi="Times New Roman" w:cs="Times New Roman"/>
          <w:i/>
          <w:iCs/>
          <w:color w:val="000000" w:themeColor="text1"/>
        </w:rPr>
        <w:t>d</w:t>
      </w:r>
      <w:r w:rsidRPr="00296F4B">
        <w:rPr>
          <w:rFonts w:ascii="Times New Roman" w:hAnsi="Times New Roman" w:cs="Times New Roman"/>
          <w:color w:val="000000" w:themeColor="text1"/>
        </w:rPr>
        <w:t xml:space="preserve"> in a two between-subject factorial design</w:t>
      </w:r>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Researchers often conduct studies to test whether an effect is moderated by a second factor that suppresses, exacerbates or reverses the effect caused by a first factor—what is known as an interaction effect—. In our experience, many researchers assume it is reasonable to select an effect size from a previous study that employed a simple design (i.e., one or two groups) to conduct an a priori power analysis for an interaction effect. This practice also applies to factorial design where one factor has two levels (df</w:t>
      </w:r>
      <w:r w:rsidRPr="00E947C7">
        <w:rPr>
          <w:rFonts w:ascii="Times New Roman" w:hAnsi="Times New Roman" w:cs="Times New Roman"/>
          <w:vertAlign w:val="subscript"/>
        </w:rPr>
        <w:t>1</w:t>
      </w:r>
      <w:r w:rsidRPr="00E947C7">
        <w:rPr>
          <w:rFonts w:ascii="Times New Roman" w:hAnsi="Times New Roman" w:cs="Times New Roman"/>
        </w:rPr>
        <w:t xml:space="preserve"> = 1). However, whether the selected effect size is a valid estimate of the interaction effect depends on the type of interaction or pattern of means that researchers expect to observe</w:t>
      </w:r>
      <w:r w:rsidRPr="00E947C7">
        <w:rPr>
          <w:rFonts w:ascii="Times New Roman" w:hAnsi="Times New Roman" w:cs="Times New Roman"/>
        </w:rPr>
        <w:softHyphen/>
        <w:t>. Broadly speaking, there are three types of interactions: ordinal, disordinal and attenuated (</w:t>
      </w:r>
      <w:hyperlink w:anchor="fig-fig1.2">
        <w:r w:rsidRPr="00E947C7">
          <w:rPr>
            <w:rStyle w:val="Hyperlink"/>
            <w:rFonts w:ascii="Times New Roman" w:hAnsi="Times New Roman" w:cs="Times New Roman"/>
            <w:b/>
            <w:bCs/>
            <w:color w:val="000000" w:themeColor="text1"/>
          </w:rPr>
          <w:t>Figure 2</w:t>
        </w:r>
      </w:hyperlink>
      <w:r w:rsidRPr="00E947C7">
        <w:rPr>
          <w:rFonts w:ascii="Times New Roman" w:hAnsi="Times New Roman" w:cs="Times New Roman"/>
          <w:b/>
          <w:bCs/>
          <w:color w:val="000000" w:themeColor="text1"/>
        </w:rPr>
        <w:t>).</w:t>
      </w:r>
      <w:r w:rsidRPr="00E947C7">
        <w:rPr>
          <w:rFonts w:ascii="Times New Roman" w:hAnsi="Times New Roman" w:cs="Times New Roman"/>
        </w:rPr>
        <w:t xml:space="preserve"> For a detailed discussion of how different interaction types influence statistical power, readers are referred to Sommet et al. [4]. To understand how the patterns of means affect the interaction effect size, it helps to conceive interactions as a “difference of differences” [4,5]. Under this conceptualization, a two-way interaction corresponds to the difference between: a) the difference between the two levels of a factor at one level of the second factor and b) the difference between the two levels of a factor at the second level of the second factor.</w:t>
      </w:r>
    </w:p>
    <w:tbl>
      <w:tblPr>
        <w:tblStyle w:val="Table"/>
        <w:tblW w:w="4900" w:type="pct"/>
        <w:tblLayout w:type="fixed"/>
        <w:tblLook w:val="0000" w:firstRow="0" w:lastRow="0" w:firstColumn="0" w:lastColumn="0" w:noHBand="0" w:noVBand="0"/>
      </w:tblPr>
      <w:tblGrid>
        <w:gridCol w:w="2346"/>
        <w:gridCol w:w="2346"/>
        <w:gridCol w:w="2346"/>
        <w:gridCol w:w="2346"/>
      </w:tblGrid>
      <w:tr w:rsidR="009B7F37" w:rsidRPr="00E947C7">
        <w:tc>
          <w:tcPr>
            <w:tcW w:w="1940" w:type="dxa"/>
          </w:tcPr>
          <w:p w:rsidR="009B7F37" w:rsidRPr="00E947C7" w:rsidRDefault="009B7F37" w:rsidP="00E947C7">
            <w:pPr>
              <w:pStyle w:val="ImageCaption"/>
              <w:spacing w:before="200" w:line="360" w:lineRule="auto"/>
              <w:jc w:val="both"/>
              <w:rPr>
                <w:rFonts w:ascii="Times New Roman" w:hAnsi="Times New Roman" w:cs="Times New Roman"/>
              </w:rPr>
            </w:pPr>
            <w:bookmarkStart w:id="3" w:name="fig-fig1.2"/>
          </w:p>
          <w:tbl>
            <w:tblPr>
              <w:tblStyle w:val="Table"/>
              <w:tblW w:w="4900" w:type="pct"/>
              <w:tblLayout w:type="fixed"/>
              <w:tblLook w:val="0000" w:firstRow="0" w:lastRow="0" w:firstColumn="0" w:lastColumn="0" w:noHBand="0" w:noVBand="0"/>
            </w:tblPr>
            <w:tblGrid>
              <w:gridCol w:w="2087"/>
            </w:tblGrid>
            <w:tr w:rsidR="009B7F37" w:rsidRPr="00E947C7">
              <w:tc>
                <w:tcPr>
                  <w:tcW w:w="7761" w:type="dxa"/>
                </w:tcPr>
                <w:p w:rsidR="009B7F37" w:rsidRPr="00E947C7" w:rsidRDefault="00000000" w:rsidP="00E947C7">
                  <w:pPr>
                    <w:pStyle w:val="Compact"/>
                    <w:spacing w:line="360" w:lineRule="auto"/>
                    <w:jc w:val="both"/>
                    <w:rPr>
                      <w:rFonts w:ascii="Times New Roman" w:hAnsi="Times New Roman" w:cs="Times New Roman"/>
                    </w:rPr>
                  </w:pPr>
                  <w:bookmarkStart w:id="4" w:name="fig-fig1.2-1"/>
                  <w:r w:rsidRPr="00E947C7">
                    <w:rPr>
                      <w:rFonts w:ascii="Times New Roman" w:hAnsi="Times New Roman" w:cs="Times New Roman"/>
                      <w:noProof/>
                    </w:rPr>
                    <w:drawing>
                      <wp:inline distT="0" distB="0" distL="0" distR="0">
                        <wp:extent cx="1481328" cy="111099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ppendix_files/figure-docx/fig-fig1.2-1.png"/>
                                <pic:cNvPicPr>
                                  <a:picLocks noChangeAspect="1" noChangeArrowheads="1"/>
                                </pic:cNvPicPr>
                              </pic:nvPicPr>
                              <pic:blipFill>
                                <a:blip r:embed="rId8"/>
                                <a:stretch>
                                  <a:fillRect/>
                                </a:stretch>
                              </pic:blipFill>
                              <pic:spPr bwMode="auto">
                                <a:xfrm>
                                  <a:off x="0" y="0"/>
                                  <a:ext cx="1481328" cy="1110996"/>
                                </a:xfrm>
                                <a:prstGeom prst="rect">
                                  <a:avLst/>
                                </a:prstGeom>
                                <a:noFill/>
                                <a:ln w="9525">
                                  <a:noFill/>
                                  <a:headEnd/>
                                  <a:tailEnd/>
                                </a:ln>
                              </pic:spPr>
                            </pic:pic>
                          </a:graphicData>
                        </a:graphic>
                      </wp:inline>
                    </w:drawing>
                  </w:r>
                </w:p>
                <w:p w:rsidR="009B7F37" w:rsidRPr="00E947C7" w:rsidRDefault="00000000" w:rsidP="00E947C7">
                  <w:pPr>
                    <w:pStyle w:val="ImageCaption"/>
                    <w:spacing w:before="200" w:line="360" w:lineRule="auto"/>
                    <w:jc w:val="both"/>
                    <w:rPr>
                      <w:rFonts w:ascii="Times New Roman" w:hAnsi="Times New Roman" w:cs="Times New Roman"/>
                    </w:rPr>
                  </w:pPr>
                  <w:r w:rsidRPr="00E947C7">
                    <w:rPr>
                      <w:rFonts w:ascii="Times New Roman" w:hAnsi="Times New Roman" w:cs="Times New Roman"/>
                    </w:rPr>
                    <w:t>(a)</w:t>
                  </w:r>
                </w:p>
              </w:tc>
              <w:bookmarkEnd w:id="4"/>
            </w:tr>
          </w:tbl>
          <w:p w:rsidR="009B7F37" w:rsidRPr="00E947C7" w:rsidRDefault="009B7F37" w:rsidP="00E947C7">
            <w:pPr>
              <w:spacing w:line="360" w:lineRule="auto"/>
              <w:jc w:val="both"/>
              <w:rPr>
                <w:rFonts w:ascii="Times New Roman" w:hAnsi="Times New Roman" w:cs="Times New Roman"/>
              </w:rPr>
            </w:pPr>
          </w:p>
        </w:tc>
        <w:tc>
          <w:tcPr>
            <w:tcW w:w="1940" w:type="dxa"/>
          </w:tcPr>
          <w:p w:rsidR="009B7F37" w:rsidRPr="00E947C7" w:rsidRDefault="009B7F37" w:rsidP="00E947C7">
            <w:pPr>
              <w:pStyle w:val="ImageCaption"/>
              <w:spacing w:before="200" w:line="360" w:lineRule="auto"/>
              <w:jc w:val="both"/>
              <w:rPr>
                <w:rFonts w:ascii="Times New Roman" w:hAnsi="Times New Roman" w:cs="Times New Roman"/>
              </w:rPr>
            </w:pPr>
          </w:p>
          <w:tbl>
            <w:tblPr>
              <w:tblStyle w:val="Table"/>
              <w:tblW w:w="4900" w:type="pct"/>
              <w:tblLayout w:type="fixed"/>
              <w:tblLook w:val="0000" w:firstRow="0" w:lastRow="0" w:firstColumn="0" w:lastColumn="0" w:noHBand="0" w:noVBand="0"/>
            </w:tblPr>
            <w:tblGrid>
              <w:gridCol w:w="2087"/>
            </w:tblGrid>
            <w:tr w:rsidR="009B7F37" w:rsidRPr="00E947C7">
              <w:tc>
                <w:tcPr>
                  <w:tcW w:w="7761" w:type="dxa"/>
                </w:tcPr>
                <w:p w:rsidR="009B7F37" w:rsidRPr="00E947C7" w:rsidRDefault="00000000" w:rsidP="00E947C7">
                  <w:pPr>
                    <w:pStyle w:val="Compact"/>
                    <w:spacing w:line="360" w:lineRule="auto"/>
                    <w:jc w:val="both"/>
                    <w:rPr>
                      <w:rFonts w:ascii="Times New Roman" w:hAnsi="Times New Roman" w:cs="Times New Roman"/>
                    </w:rPr>
                  </w:pPr>
                  <w:bookmarkStart w:id="5" w:name="fig-fig1.2-2"/>
                  <w:r w:rsidRPr="00E947C7">
                    <w:rPr>
                      <w:rFonts w:ascii="Times New Roman" w:hAnsi="Times New Roman" w:cs="Times New Roman"/>
                      <w:noProof/>
                    </w:rPr>
                    <w:drawing>
                      <wp:inline distT="0" distB="0" distL="0" distR="0">
                        <wp:extent cx="1481328" cy="111099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ppendix_files/figure-docx/fig-fig1.2-2.png"/>
                                <pic:cNvPicPr>
                                  <a:picLocks noChangeAspect="1" noChangeArrowheads="1"/>
                                </pic:cNvPicPr>
                              </pic:nvPicPr>
                              <pic:blipFill>
                                <a:blip r:embed="rId9"/>
                                <a:stretch>
                                  <a:fillRect/>
                                </a:stretch>
                              </pic:blipFill>
                              <pic:spPr bwMode="auto">
                                <a:xfrm>
                                  <a:off x="0" y="0"/>
                                  <a:ext cx="1481328" cy="1110996"/>
                                </a:xfrm>
                                <a:prstGeom prst="rect">
                                  <a:avLst/>
                                </a:prstGeom>
                                <a:noFill/>
                                <a:ln w="9525">
                                  <a:noFill/>
                                  <a:headEnd/>
                                  <a:tailEnd/>
                                </a:ln>
                              </pic:spPr>
                            </pic:pic>
                          </a:graphicData>
                        </a:graphic>
                      </wp:inline>
                    </w:drawing>
                  </w:r>
                </w:p>
                <w:p w:rsidR="009B7F37" w:rsidRPr="00E947C7" w:rsidRDefault="00000000" w:rsidP="00E947C7">
                  <w:pPr>
                    <w:pStyle w:val="ImageCaption"/>
                    <w:spacing w:before="200" w:line="360" w:lineRule="auto"/>
                    <w:jc w:val="both"/>
                    <w:rPr>
                      <w:rFonts w:ascii="Times New Roman" w:hAnsi="Times New Roman" w:cs="Times New Roman"/>
                    </w:rPr>
                  </w:pPr>
                  <w:r w:rsidRPr="00E947C7">
                    <w:rPr>
                      <w:rFonts w:ascii="Times New Roman" w:hAnsi="Times New Roman" w:cs="Times New Roman"/>
                    </w:rPr>
                    <w:t>(b)</w:t>
                  </w:r>
                </w:p>
              </w:tc>
              <w:bookmarkEnd w:id="5"/>
            </w:tr>
          </w:tbl>
          <w:p w:rsidR="009B7F37" w:rsidRPr="00E947C7" w:rsidRDefault="009B7F37" w:rsidP="00E947C7">
            <w:pPr>
              <w:spacing w:line="360" w:lineRule="auto"/>
              <w:jc w:val="both"/>
              <w:rPr>
                <w:rFonts w:ascii="Times New Roman" w:hAnsi="Times New Roman" w:cs="Times New Roman"/>
              </w:rPr>
            </w:pPr>
          </w:p>
        </w:tc>
        <w:tc>
          <w:tcPr>
            <w:tcW w:w="1940" w:type="dxa"/>
          </w:tcPr>
          <w:p w:rsidR="009B7F37" w:rsidRPr="00E947C7" w:rsidRDefault="009B7F37" w:rsidP="00E947C7">
            <w:pPr>
              <w:pStyle w:val="ImageCaption"/>
              <w:spacing w:before="200" w:line="360" w:lineRule="auto"/>
              <w:jc w:val="both"/>
              <w:rPr>
                <w:rFonts w:ascii="Times New Roman" w:hAnsi="Times New Roman" w:cs="Times New Roman"/>
              </w:rPr>
            </w:pPr>
          </w:p>
          <w:tbl>
            <w:tblPr>
              <w:tblStyle w:val="Table"/>
              <w:tblW w:w="4900" w:type="pct"/>
              <w:tblLayout w:type="fixed"/>
              <w:tblLook w:val="0000" w:firstRow="0" w:lastRow="0" w:firstColumn="0" w:lastColumn="0" w:noHBand="0" w:noVBand="0"/>
            </w:tblPr>
            <w:tblGrid>
              <w:gridCol w:w="2087"/>
            </w:tblGrid>
            <w:tr w:rsidR="009B7F37" w:rsidRPr="00E947C7">
              <w:tc>
                <w:tcPr>
                  <w:tcW w:w="7761" w:type="dxa"/>
                </w:tcPr>
                <w:p w:rsidR="009B7F37" w:rsidRPr="00E947C7" w:rsidRDefault="00000000" w:rsidP="00E947C7">
                  <w:pPr>
                    <w:pStyle w:val="Compact"/>
                    <w:spacing w:line="360" w:lineRule="auto"/>
                    <w:jc w:val="both"/>
                    <w:rPr>
                      <w:rFonts w:ascii="Times New Roman" w:hAnsi="Times New Roman" w:cs="Times New Roman"/>
                    </w:rPr>
                  </w:pPr>
                  <w:bookmarkStart w:id="6" w:name="fig-fig1.2-3"/>
                  <w:r w:rsidRPr="00E947C7">
                    <w:rPr>
                      <w:rFonts w:ascii="Times New Roman" w:hAnsi="Times New Roman" w:cs="Times New Roman"/>
                      <w:noProof/>
                    </w:rPr>
                    <w:drawing>
                      <wp:inline distT="0" distB="0" distL="0" distR="0">
                        <wp:extent cx="1481328" cy="111099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ppendix_files/figure-docx/fig-fig1.2-3.png"/>
                                <pic:cNvPicPr>
                                  <a:picLocks noChangeAspect="1" noChangeArrowheads="1"/>
                                </pic:cNvPicPr>
                              </pic:nvPicPr>
                              <pic:blipFill>
                                <a:blip r:embed="rId10"/>
                                <a:stretch>
                                  <a:fillRect/>
                                </a:stretch>
                              </pic:blipFill>
                              <pic:spPr bwMode="auto">
                                <a:xfrm>
                                  <a:off x="0" y="0"/>
                                  <a:ext cx="1481328" cy="1110996"/>
                                </a:xfrm>
                                <a:prstGeom prst="rect">
                                  <a:avLst/>
                                </a:prstGeom>
                                <a:noFill/>
                                <a:ln w="9525">
                                  <a:noFill/>
                                  <a:headEnd/>
                                  <a:tailEnd/>
                                </a:ln>
                              </pic:spPr>
                            </pic:pic>
                          </a:graphicData>
                        </a:graphic>
                      </wp:inline>
                    </w:drawing>
                  </w:r>
                </w:p>
                <w:p w:rsidR="009B7F37" w:rsidRPr="00E947C7" w:rsidRDefault="00000000" w:rsidP="00E947C7">
                  <w:pPr>
                    <w:pStyle w:val="ImageCaption"/>
                    <w:spacing w:before="200" w:line="360" w:lineRule="auto"/>
                    <w:jc w:val="both"/>
                    <w:rPr>
                      <w:rFonts w:ascii="Times New Roman" w:hAnsi="Times New Roman" w:cs="Times New Roman"/>
                    </w:rPr>
                  </w:pPr>
                  <w:r w:rsidRPr="00E947C7">
                    <w:rPr>
                      <w:rFonts w:ascii="Times New Roman" w:hAnsi="Times New Roman" w:cs="Times New Roman"/>
                    </w:rPr>
                    <w:t>(c)</w:t>
                  </w:r>
                </w:p>
              </w:tc>
              <w:bookmarkEnd w:id="6"/>
            </w:tr>
          </w:tbl>
          <w:p w:rsidR="009B7F37" w:rsidRPr="00E947C7" w:rsidRDefault="009B7F37" w:rsidP="00E947C7">
            <w:pPr>
              <w:spacing w:line="360" w:lineRule="auto"/>
              <w:jc w:val="both"/>
              <w:rPr>
                <w:rFonts w:ascii="Times New Roman" w:hAnsi="Times New Roman" w:cs="Times New Roman"/>
              </w:rPr>
            </w:pPr>
          </w:p>
        </w:tc>
        <w:tc>
          <w:tcPr>
            <w:tcW w:w="1940" w:type="dxa"/>
          </w:tcPr>
          <w:p w:rsidR="009B7F37" w:rsidRPr="00E947C7" w:rsidRDefault="009B7F37" w:rsidP="00E947C7">
            <w:pPr>
              <w:pStyle w:val="ImageCaption"/>
              <w:spacing w:before="200" w:line="360" w:lineRule="auto"/>
              <w:jc w:val="both"/>
              <w:rPr>
                <w:rFonts w:ascii="Times New Roman" w:hAnsi="Times New Roman" w:cs="Times New Roman"/>
              </w:rPr>
            </w:pPr>
          </w:p>
          <w:tbl>
            <w:tblPr>
              <w:tblStyle w:val="Table"/>
              <w:tblW w:w="4900" w:type="pct"/>
              <w:tblLayout w:type="fixed"/>
              <w:tblLook w:val="0000" w:firstRow="0" w:lastRow="0" w:firstColumn="0" w:lastColumn="0" w:noHBand="0" w:noVBand="0"/>
            </w:tblPr>
            <w:tblGrid>
              <w:gridCol w:w="2087"/>
            </w:tblGrid>
            <w:tr w:rsidR="009B7F37" w:rsidRPr="00E947C7">
              <w:tc>
                <w:tcPr>
                  <w:tcW w:w="7761" w:type="dxa"/>
                </w:tcPr>
                <w:p w:rsidR="009B7F37" w:rsidRPr="00E947C7" w:rsidRDefault="00000000" w:rsidP="00E947C7">
                  <w:pPr>
                    <w:pStyle w:val="Compact"/>
                    <w:spacing w:line="360" w:lineRule="auto"/>
                    <w:jc w:val="both"/>
                    <w:rPr>
                      <w:rFonts w:ascii="Times New Roman" w:hAnsi="Times New Roman" w:cs="Times New Roman"/>
                    </w:rPr>
                  </w:pPr>
                  <w:bookmarkStart w:id="7" w:name="fig-fig1.2-4"/>
                  <w:r w:rsidRPr="00E947C7">
                    <w:rPr>
                      <w:rFonts w:ascii="Times New Roman" w:hAnsi="Times New Roman" w:cs="Times New Roman"/>
                      <w:noProof/>
                    </w:rPr>
                    <w:drawing>
                      <wp:inline distT="0" distB="0" distL="0" distR="0">
                        <wp:extent cx="1481328" cy="1110996"/>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ppendix_files/figure-docx/fig-fig1.2-4.png"/>
                                <pic:cNvPicPr>
                                  <a:picLocks noChangeAspect="1" noChangeArrowheads="1"/>
                                </pic:cNvPicPr>
                              </pic:nvPicPr>
                              <pic:blipFill>
                                <a:blip r:embed="rId11"/>
                                <a:stretch>
                                  <a:fillRect/>
                                </a:stretch>
                              </pic:blipFill>
                              <pic:spPr bwMode="auto">
                                <a:xfrm>
                                  <a:off x="0" y="0"/>
                                  <a:ext cx="1481328" cy="1110996"/>
                                </a:xfrm>
                                <a:prstGeom prst="rect">
                                  <a:avLst/>
                                </a:prstGeom>
                                <a:noFill/>
                                <a:ln w="9525">
                                  <a:noFill/>
                                  <a:headEnd/>
                                  <a:tailEnd/>
                                </a:ln>
                              </pic:spPr>
                            </pic:pic>
                          </a:graphicData>
                        </a:graphic>
                      </wp:inline>
                    </w:drawing>
                  </w:r>
                </w:p>
                <w:p w:rsidR="009B7F37" w:rsidRPr="00E947C7" w:rsidRDefault="00000000" w:rsidP="00E947C7">
                  <w:pPr>
                    <w:pStyle w:val="ImageCaption"/>
                    <w:spacing w:before="200" w:line="360" w:lineRule="auto"/>
                    <w:jc w:val="both"/>
                    <w:rPr>
                      <w:rFonts w:ascii="Times New Roman" w:hAnsi="Times New Roman" w:cs="Times New Roman"/>
                    </w:rPr>
                  </w:pPr>
                  <w:r w:rsidRPr="00E947C7">
                    <w:rPr>
                      <w:rFonts w:ascii="Times New Roman" w:hAnsi="Times New Roman" w:cs="Times New Roman"/>
                    </w:rPr>
                    <w:t>(d)</w:t>
                  </w:r>
                </w:p>
              </w:tc>
              <w:bookmarkEnd w:id="7"/>
            </w:tr>
          </w:tbl>
          <w:p w:rsidR="009B7F37" w:rsidRPr="00E947C7" w:rsidRDefault="009B7F37" w:rsidP="00E947C7">
            <w:pPr>
              <w:spacing w:line="360" w:lineRule="auto"/>
              <w:jc w:val="both"/>
              <w:rPr>
                <w:rFonts w:ascii="Times New Roman" w:hAnsi="Times New Roman" w:cs="Times New Roman"/>
              </w:rPr>
            </w:pPr>
          </w:p>
        </w:tc>
      </w:tr>
    </w:tbl>
    <w:p w:rsidR="009B7F37" w:rsidRPr="00E947C7" w:rsidRDefault="00000000" w:rsidP="00E947C7">
      <w:pPr>
        <w:pStyle w:val="ImageCaption"/>
        <w:spacing w:before="200" w:line="360" w:lineRule="auto"/>
        <w:jc w:val="both"/>
        <w:rPr>
          <w:rFonts w:ascii="Times New Roman" w:hAnsi="Times New Roman" w:cs="Times New Roman"/>
          <w:i w:val="0"/>
          <w:iCs/>
        </w:rPr>
      </w:pPr>
      <w:r w:rsidRPr="00E947C7">
        <w:rPr>
          <w:rFonts w:ascii="Times New Roman" w:hAnsi="Times New Roman" w:cs="Times New Roman"/>
          <w:b/>
          <w:bCs/>
          <w:i w:val="0"/>
          <w:iCs/>
          <w:color w:val="000000" w:themeColor="text1"/>
        </w:rPr>
        <w:t>Fig</w:t>
      </w:r>
      <w:r w:rsidR="00E947C7" w:rsidRPr="00E947C7">
        <w:rPr>
          <w:rFonts w:ascii="Times New Roman" w:hAnsi="Times New Roman" w:cs="Times New Roman"/>
          <w:b/>
          <w:bCs/>
          <w:i w:val="0"/>
          <w:iCs/>
          <w:color w:val="000000" w:themeColor="text1"/>
        </w:rPr>
        <w:t>.</w:t>
      </w:r>
      <w:r w:rsidRPr="00E947C7">
        <w:rPr>
          <w:rFonts w:ascii="Times New Roman" w:hAnsi="Times New Roman" w:cs="Times New Roman"/>
          <w:b/>
          <w:bCs/>
          <w:i w:val="0"/>
          <w:iCs/>
          <w:color w:val="000000" w:themeColor="text1"/>
        </w:rPr>
        <w:t> 2</w:t>
      </w:r>
      <w:r w:rsidR="00E947C7" w:rsidRPr="00E947C7">
        <w:rPr>
          <w:rFonts w:ascii="Times New Roman" w:hAnsi="Times New Roman" w:cs="Times New Roman"/>
          <w:i w:val="0"/>
          <w:iCs/>
        </w:rPr>
        <w:t xml:space="preserve"> </w:t>
      </w:r>
      <w:r w:rsidRPr="00E947C7">
        <w:rPr>
          <w:rFonts w:ascii="Times New Roman" w:hAnsi="Times New Roman" w:cs="Times New Roman"/>
          <w:i w:val="0"/>
          <w:iCs/>
        </w:rPr>
        <w:t xml:space="preserve">Illustration of a simple effect and three types of interaction. (a) shows a simple effect comparing two experimental conditions. (b) depicts an ordinal interaction, where intake time suppresses the effect of the supplement. (c) depicts a disordinal interaction, where intake time </w:t>
      </w:r>
      <w:r w:rsidRPr="00E947C7">
        <w:rPr>
          <w:rFonts w:ascii="Times New Roman" w:hAnsi="Times New Roman" w:cs="Times New Roman"/>
          <w:i w:val="0"/>
          <w:iCs/>
        </w:rPr>
        <w:lastRenderedPageBreak/>
        <w:t>reverses the effect of the supplement. (d) depicts an attenuated interaction, where intake time reduces the effect of the supplement.</w:t>
      </w:r>
    </w:p>
    <w:bookmarkEnd w:id="3"/>
    <w:p w:rsidR="009B7F37" w:rsidRPr="00E947C7" w:rsidRDefault="00000000" w:rsidP="00E947C7">
      <w:pPr>
        <w:pStyle w:val="BodyText"/>
        <w:spacing w:line="360" w:lineRule="auto"/>
        <w:jc w:val="both"/>
        <w:rPr>
          <w:rFonts w:ascii="Times New Roman" w:hAnsi="Times New Roman" w:cs="Times New Roman"/>
        </w:rPr>
      </w:pPr>
      <w:r w:rsidRPr="00E947C7">
        <w:rPr>
          <w:rFonts w:ascii="Times New Roman" w:hAnsi="Times New Roman" w:cs="Times New Roman"/>
        </w:rPr>
        <w:t xml:space="preserve">An advantage of this approach is that researchers can conduct an a priori power analysis for an interaction effect using a </w:t>
      </w:r>
      <w:r w:rsidRPr="00E947C7">
        <w:rPr>
          <w:rFonts w:ascii="Times New Roman" w:hAnsi="Times New Roman" w:cs="Times New Roman"/>
          <w:i/>
          <w:iCs/>
        </w:rPr>
        <w:t>t-</w:t>
      </w:r>
      <w:r w:rsidRPr="00E947C7">
        <w:rPr>
          <w:rFonts w:ascii="Times New Roman" w:hAnsi="Times New Roman" w:cs="Times New Roman"/>
        </w:rPr>
        <w:t xml:space="preserve">test, requiring only the specification of an expected effect size in terms of Cohen’s </w:t>
      </w:r>
      <w:r w:rsidRPr="00E947C7">
        <w:rPr>
          <w:rFonts w:ascii="Times New Roman" w:hAnsi="Times New Roman" w:cs="Times New Roman"/>
          <w:i/>
          <w:iCs/>
        </w:rPr>
        <w:t>d.</w:t>
      </w:r>
      <w:r w:rsidRPr="00E947C7">
        <w:rPr>
          <w:rFonts w:ascii="Times New Roman" w:hAnsi="Times New Roman" w:cs="Times New Roman"/>
        </w:rPr>
        <w:t xml:space="preserve"> In a 2 x 2 between-subject design, the interaction effect can be calculated as follows [4]:</w:t>
      </w:r>
    </w:p>
    <w:bookmarkStart w:id="8" w:name="eq-1.1"/>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e>
              </m:d>
            </m:num>
            <m:den>
              <m:r>
                <m:rPr>
                  <m:nor/>
                </m:rPr>
                <w:rPr>
                  <w:rFonts w:ascii="Times New Roman" w:hAnsi="Times New Roman" w:cs="Times New Roman"/>
                </w:rPr>
                <m:t>Pooled SD</m:t>
              </m:r>
            </m:den>
          </m:f>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d>
            </m:num>
            <m:den>
              <m:r>
                <m:rPr>
                  <m:nor/>
                </m:rPr>
                <w:rPr>
                  <w:rFonts w:ascii="Times New Roman" w:hAnsi="Times New Roman" w:cs="Times New Roman"/>
                </w:rPr>
                <m:t>Pooled SD</m:t>
              </m:r>
            </m:den>
          </m:f>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d>
            </m:num>
            <m:den>
              <m:r>
                <w:rPr>
                  <w:rFonts w:ascii="Cambria Math" w:hAnsi="Cambria Math" w:cs="Times New Roman"/>
                </w:rPr>
                <m:t>2</m:t>
              </m:r>
              <m:r>
                <m:rPr>
                  <m:sty m:val="p"/>
                </m:rPr>
                <w:rPr>
                  <w:rFonts w:ascii="Cambria Math" w:hAnsi="Cambria Math" w:cs="Times New Roman"/>
                </w:rPr>
                <m:t>×</m:t>
              </m:r>
              <m:r>
                <m:rPr>
                  <m:nor/>
                </m:rPr>
                <w:rPr>
                  <w:rFonts w:ascii="Times New Roman" w:hAnsi="Times New Roman" w:cs="Times New Roman"/>
                </w:rPr>
                <m:t>Pooled SD</m:t>
              </m:r>
            </m:den>
          </m:f>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e>
          </m:d>
        </m:oMath>
      </m:oMathPara>
      <w:bookmarkEnd w:id="8"/>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where E and C refer to the experimental and control group, respectively, and the subscripted numbers refer to the levels of the second factor. Thus,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is computed as the difference between two standardised mean differences (</w:t>
      </w:r>
      <w:r w:rsidRPr="00E947C7">
        <w:rPr>
          <w:rFonts w:ascii="Times New Roman" w:hAnsi="Times New Roman" w:cs="Times New Roman"/>
          <w:i/>
          <w:iCs/>
        </w:rPr>
        <w:t>d</w:t>
      </w:r>
      <w:r w:rsidRPr="00E947C7">
        <w:rPr>
          <w:rFonts w:ascii="Times New Roman" w:hAnsi="Times New Roman" w:cs="Times New Roman"/>
          <w:i/>
          <w:iCs/>
          <w:vertAlign w:val="subscript"/>
        </w:rPr>
        <w:t>s</w:t>
      </w:r>
      <w:r w:rsidRPr="00E947C7">
        <w:rPr>
          <w:rFonts w:ascii="Times New Roman" w:hAnsi="Times New Roman" w:cs="Times New Roman"/>
        </w:rPr>
        <w:t xml:space="preserve">) from the two main effects. To illustrate how the pattern of means affects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imagine a study testing whether the effect of a supplement is moderated by the intake time (i.e., morning vs. afternoon) using a 2 x 2 between-subject design. Specifically, suppose we hypothesize that taking the supplement in the evening will knock out the effect of taking the supplement in the morning—what is known as an ordinal interaction (</w:t>
      </w:r>
      <w:hyperlink w:anchor="fig-fig1.2-2">
        <w:r w:rsidRPr="00296F4B">
          <w:rPr>
            <w:rStyle w:val="Hyperlink"/>
            <w:rFonts w:ascii="Times New Roman" w:hAnsi="Times New Roman" w:cs="Times New Roman"/>
            <w:b/>
            <w:bCs/>
            <w:color w:val="000000" w:themeColor="text1"/>
          </w:rPr>
          <w:t>Figure 2 (b)</w:t>
        </w:r>
      </w:hyperlink>
      <w:r w:rsidRPr="00E947C7">
        <w:rPr>
          <w:rFonts w:ascii="Times New Roman" w:hAnsi="Times New Roman" w:cs="Times New Roman"/>
        </w:rPr>
        <w:t>)—. We base our a priori power analysis on a previous two-group study that found the supplement improved cycling time to exhaustion in comparison to a placebo. Assuming a common SD of 2, the observed improvement corresponds to an effect size of:</w:t>
      </w:r>
    </w:p>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0.5 </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Plugging </w:t>
      </w:r>
      <w:r w:rsidRPr="00E947C7">
        <w:rPr>
          <w:rFonts w:ascii="Times New Roman" w:hAnsi="Times New Roman" w:cs="Times New Roman"/>
          <w:i/>
          <w:iCs/>
        </w:rPr>
        <w:t>d</w:t>
      </w:r>
      <w:r w:rsidRPr="00E947C7">
        <w:rPr>
          <w:rFonts w:ascii="Times New Roman" w:hAnsi="Times New Roman" w:cs="Times New Roman"/>
          <w:i/>
          <w:iCs/>
          <w:vertAlign w:val="subscript"/>
        </w:rPr>
        <w:t>s</w:t>
      </w:r>
      <w:r w:rsidRPr="00E947C7">
        <w:rPr>
          <w:rFonts w:ascii="Times New Roman" w:hAnsi="Times New Roman" w:cs="Times New Roman"/>
        </w:rPr>
        <w:t xml:space="preserve"> = 0.5, </w:t>
      </w:r>
      <m:oMath>
        <m:r>
          <w:rPr>
            <w:rFonts w:ascii="Cambria Math" w:hAnsi="Cambria Math" w:cs="Times New Roman"/>
          </w:rPr>
          <m:t>α</m:t>
        </m:r>
      </m:oMath>
      <w:r w:rsidRPr="00E947C7">
        <w:rPr>
          <w:rFonts w:ascii="Times New Roman" w:hAnsi="Times New Roman" w:cs="Times New Roman"/>
        </w:rPr>
        <w:t xml:space="preserve"> = 0.05, and statistical power = 0.8 into G*Power yields a total sample size of 128 for a two-sided unpaired </w:t>
      </w:r>
      <w:r w:rsidRPr="00E947C7">
        <w:rPr>
          <w:rFonts w:ascii="Times New Roman" w:hAnsi="Times New Roman" w:cs="Times New Roman"/>
          <w:i/>
          <w:iCs/>
        </w:rPr>
        <w:t>t</w:t>
      </w:r>
      <w:r w:rsidRPr="00E947C7">
        <w:rPr>
          <w:rFonts w:ascii="Times New Roman" w:hAnsi="Times New Roman" w:cs="Times New Roman"/>
        </w:rPr>
        <w:t>-test, or 32 participants for each of the four groups in our 2 x 2 factorial design. However, this a priori power analysis is invalid because the selected effect size does not correspond to the hypothesized ordinal interaction (</w:t>
      </w:r>
      <w:hyperlink w:anchor="fig-fig1.2-2">
        <w:r w:rsidRPr="00E947C7">
          <w:rPr>
            <w:rStyle w:val="Hyperlink"/>
            <w:rFonts w:ascii="Times New Roman" w:hAnsi="Times New Roman" w:cs="Times New Roman"/>
            <w:b/>
            <w:bCs/>
            <w:color w:val="000000" w:themeColor="text1"/>
          </w:rPr>
          <w:t>Figure 2 (b)</w:t>
        </w:r>
      </w:hyperlink>
      <w:r w:rsidRPr="00E947C7">
        <w:rPr>
          <w:rFonts w:ascii="Times New Roman" w:hAnsi="Times New Roman" w:cs="Times New Roman"/>
        </w:rPr>
        <w:t xml:space="preserve">). Using </w:t>
      </w:r>
      <w:hyperlink w:anchor="eq-1.1">
        <w:r w:rsidRPr="00E947C7">
          <w:rPr>
            <w:rStyle w:val="Hyperlink"/>
            <w:rFonts w:ascii="Times New Roman" w:hAnsi="Times New Roman" w:cs="Times New Roman"/>
            <w:b/>
            <w:bCs/>
            <w:color w:val="000000" w:themeColor="text1"/>
          </w:rPr>
          <w:t>Equation 1</w:t>
        </w:r>
      </w:hyperlink>
      <w:r w:rsidRPr="00E947C7">
        <w:rPr>
          <w:rFonts w:ascii="Times New Roman" w:hAnsi="Times New Roman" w:cs="Times New Roman"/>
        </w:rPr>
        <w:t>, the expected pattern of means results in:</w:t>
      </w:r>
    </w:p>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e>
              </m:d>
            </m:num>
            <m:den>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0.25</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Plugging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 0.25, </w:t>
      </w:r>
      <m:oMath>
        <m:r>
          <w:rPr>
            <w:rFonts w:ascii="Cambria Math" w:hAnsi="Cambria Math" w:cs="Times New Roman"/>
          </w:rPr>
          <m:t>α</m:t>
        </m:r>
      </m:oMath>
      <w:r w:rsidRPr="00E947C7">
        <w:rPr>
          <w:rFonts w:ascii="Times New Roman" w:hAnsi="Times New Roman" w:cs="Times New Roman"/>
        </w:rPr>
        <w:t xml:space="preserve"> = 0.05, and statistical power = 0.8 into G*Power yields a total sample size of 506 for an unpaired </w:t>
      </w:r>
      <w:r w:rsidRPr="00E947C7">
        <w:rPr>
          <w:rFonts w:ascii="Times New Roman" w:hAnsi="Times New Roman" w:cs="Times New Roman"/>
          <w:i/>
          <w:iCs/>
        </w:rPr>
        <w:t>t</w:t>
      </w:r>
      <w:r w:rsidRPr="00E947C7">
        <w:rPr>
          <w:rFonts w:ascii="Times New Roman" w:hAnsi="Times New Roman" w:cs="Times New Roman"/>
        </w:rPr>
        <w:t xml:space="preserve">-test, or about 127 participants per group. In contrast, for a disordinal </w:t>
      </w:r>
      <w:r w:rsidRPr="00E947C7">
        <w:rPr>
          <w:rFonts w:ascii="Times New Roman" w:hAnsi="Times New Roman" w:cs="Times New Roman"/>
        </w:rPr>
        <w:lastRenderedPageBreak/>
        <w:t>interaction (</w:t>
      </w:r>
      <w:hyperlink w:anchor="fig-fig1.2-3">
        <w:r w:rsidRPr="00E947C7">
          <w:rPr>
            <w:rStyle w:val="Hyperlink"/>
            <w:rFonts w:ascii="Times New Roman" w:hAnsi="Times New Roman" w:cs="Times New Roman"/>
            <w:b/>
            <w:bCs/>
            <w:color w:val="000000" w:themeColor="text1"/>
          </w:rPr>
          <w:t>Figure 2 (c)</w:t>
        </w:r>
      </w:hyperlink>
      <w:r w:rsidRPr="00E947C7">
        <w:rPr>
          <w:rFonts w:ascii="Times New Roman" w:hAnsi="Times New Roman" w:cs="Times New Roman"/>
        </w:rPr>
        <w:t xml:space="preserve">), the pattern of means would correspond to a larger effect size of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 0.5 using </w:t>
      </w:r>
      <w:hyperlink w:anchor="eq-1.1">
        <w:r w:rsidRPr="00E947C7">
          <w:rPr>
            <w:rStyle w:val="Hyperlink"/>
            <w:rFonts w:ascii="Times New Roman" w:hAnsi="Times New Roman" w:cs="Times New Roman"/>
            <w:b/>
            <w:bCs/>
            <w:color w:val="000000" w:themeColor="text1"/>
          </w:rPr>
          <w:t>Equation 1</w:t>
        </w:r>
      </w:hyperlink>
      <w:r w:rsidRPr="00E947C7">
        <w:rPr>
          <w:rFonts w:ascii="Times New Roman" w:hAnsi="Times New Roman" w:cs="Times New Roman"/>
        </w:rPr>
        <w:t>:</w:t>
      </w:r>
    </w:p>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num>
            <m:den>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0.5</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In this case, using </w:t>
      </w:r>
      <w:r w:rsidRPr="00E947C7">
        <w:rPr>
          <w:rFonts w:ascii="Times New Roman" w:hAnsi="Times New Roman" w:cs="Times New Roman"/>
          <w:i/>
          <w:iCs/>
        </w:rPr>
        <w:t>d</w:t>
      </w:r>
      <w:r w:rsidRPr="00E947C7">
        <w:rPr>
          <w:rFonts w:ascii="Times New Roman" w:hAnsi="Times New Roman" w:cs="Times New Roman"/>
          <w:i/>
          <w:iCs/>
          <w:vertAlign w:val="subscript"/>
        </w:rPr>
        <w:t>s</w:t>
      </w:r>
      <w:r w:rsidRPr="00E947C7">
        <w:rPr>
          <w:rFonts w:ascii="Times New Roman" w:hAnsi="Times New Roman" w:cs="Times New Roman"/>
        </w:rPr>
        <w:t xml:space="preserve"> = 0.5 in an a priori power analysis would be clearly invalid and only appropriate in the case that a reverse interaction was expected. Lastly, for an attenuated interaction (</w:t>
      </w:r>
      <w:hyperlink w:anchor="fig-fig1.2-4">
        <w:r w:rsidRPr="00E947C7">
          <w:rPr>
            <w:rStyle w:val="Hyperlink"/>
            <w:rFonts w:ascii="Times New Roman" w:hAnsi="Times New Roman" w:cs="Times New Roman"/>
            <w:b/>
            <w:bCs/>
            <w:color w:val="000000" w:themeColor="text1"/>
          </w:rPr>
          <w:t>Figure 2 (d)</w:t>
        </w:r>
      </w:hyperlink>
      <w:r w:rsidRPr="00E947C7">
        <w:rPr>
          <w:rFonts w:ascii="Times New Roman" w:hAnsi="Times New Roman" w:cs="Times New Roman"/>
        </w:rPr>
        <w:t xml:space="preserve">), where evening intake reduces (but does not eliminate) the supplement’s effect, using </w:t>
      </w:r>
      <w:hyperlink w:anchor="eq-1.1">
        <w:r w:rsidRPr="00E947C7">
          <w:rPr>
            <w:rStyle w:val="Hyperlink"/>
            <w:rFonts w:ascii="Times New Roman" w:hAnsi="Times New Roman" w:cs="Times New Roman"/>
            <w:b/>
            <w:bCs/>
            <w:color w:val="000000" w:themeColor="text1"/>
          </w:rPr>
          <w:t>Equation 1</w:t>
        </w:r>
      </w:hyperlink>
      <w:r w:rsidRPr="00E947C7">
        <w:rPr>
          <w:rFonts w:ascii="Times New Roman" w:hAnsi="Times New Roman" w:cs="Times New Roman"/>
        </w:rPr>
        <w:t>, the pattern of means would correspond to:</w:t>
      </w:r>
    </w:p>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0.6</m:t>
                  </m:r>
                  <m:r>
                    <m:rPr>
                      <m:sty m:val="p"/>
                    </m:rPr>
                    <w:rPr>
                      <w:rFonts w:ascii="Cambria Math" w:hAnsi="Cambria Math" w:cs="Times New Roman"/>
                    </w:rPr>
                    <m:t>-</m:t>
                  </m:r>
                  <m:r>
                    <w:rPr>
                      <w:rFonts w:ascii="Cambria Math" w:hAnsi="Cambria Math" w:cs="Times New Roman"/>
                    </w:rPr>
                    <m:t>0</m:t>
                  </m:r>
                </m:e>
              </m:d>
            </m:num>
            <m:den>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0.1</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Plugging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 0.1, </w:t>
      </w:r>
      <m:oMath>
        <m:r>
          <w:rPr>
            <w:rFonts w:ascii="Cambria Math" w:hAnsi="Cambria Math" w:cs="Times New Roman"/>
          </w:rPr>
          <m:t>α</m:t>
        </m:r>
      </m:oMath>
      <w:r w:rsidRPr="00E947C7">
        <w:rPr>
          <w:rFonts w:ascii="Times New Roman" w:hAnsi="Times New Roman" w:cs="Times New Roman"/>
        </w:rPr>
        <w:t xml:space="preserve"> = 0.05, and statistical power = 0.8 into G*Power for a two-sided unpaired </w:t>
      </w:r>
      <w:r w:rsidRPr="00E947C7">
        <w:rPr>
          <w:rFonts w:ascii="Times New Roman" w:hAnsi="Times New Roman" w:cs="Times New Roman"/>
          <w:i/>
          <w:iCs/>
        </w:rPr>
        <w:t>t</w:t>
      </w:r>
      <w:r w:rsidRPr="00E947C7">
        <w:rPr>
          <w:rFonts w:ascii="Times New Roman" w:hAnsi="Times New Roman" w:cs="Times New Roman"/>
        </w:rPr>
        <w:t>-test yields a total sample size of 3142, or 786 participants per group. These examples underscore how misestimating the interaction effect can severely distort the required sample size, potentially leading to invalid a priori power analyses.</w:t>
      </w:r>
    </w:p>
    <w:p w:rsidR="009B7F37" w:rsidRPr="00E947C7" w:rsidRDefault="00000000" w:rsidP="00E947C7">
      <w:pPr>
        <w:pStyle w:val="BodyText"/>
        <w:spacing w:line="360" w:lineRule="auto"/>
        <w:jc w:val="both"/>
        <w:rPr>
          <w:rFonts w:ascii="Times New Roman" w:hAnsi="Times New Roman" w:cs="Times New Roman"/>
        </w:rPr>
      </w:pPr>
      <w:r w:rsidRPr="00E947C7">
        <w:rPr>
          <w:rFonts w:ascii="Times New Roman" w:hAnsi="Times New Roman" w:cs="Times New Roman"/>
        </w:rPr>
        <w:t xml:space="preserve">As previously noted, since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is derived from the difference between two standardised effect sizes (</w:t>
      </w:r>
      <w:r w:rsidRPr="00E947C7">
        <w:rPr>
          <w:rFonts w:ascii="Times New Roman" w:hAnsi="Times New Roman" w:cs="Times New Roman"/>
          <w:i/>
          <w:iCs/>
        </w:rPr>
        <w:t>d</w:t>
      </w:r>
      <w:r w:rsidRPr="00E947C7">
        <w:rPr>
          <w:rFonts w:ascii="Times New Roman" w:hAnsi="Times New Roman" w:cs="Times New Roman"/>
          <w:i/>
          <w:iCs/>
          <w:vertAlign w:val="subscript"/>
        </w:rPr>
        <w:t>s</w:t>
      </w:r>
      <w:r w:rsidRPr="00E947C7">
        <w:rPr>
          <w:rFonts w:ascii="Times New Roman" w:hAnsi="Times New Roman" w:cs="Times New Roman"/>
        </w:rPr>
        <w:t xml:space="preserve">), a priori power analyses for interactions can be performed using an unpaired </w:t>
      </w:r>
      <w:r w:rsidRPr="00E947C7">
        <w:rPr>
          <w:rFonts w:ascii="Times New Roman" w:hAnsi="Times New Roman" w:cs="Times New Roman"/>
          <w:i/>
          <w:iCs/>
        </w:rPr>
        <w:t>t</w:t>
      </w:r>
      <w:r w:rsidRPr="00E947C7">
        <w:rPr>
          <w:rFonts w:ascii="Times New Roman" w:hAnsi="Times New Roman" w:cs="Times New Roman"/>
        </w:rPr>
        <w:t xml:space="preserve">-test with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as the effect size. Alternatively, this method is mathematically equivalent to conducting an a priori power analysis in n G*Power for a 2 x 2 between-subject ANOVA with the interaction effect size expressed as:</w:t>
      </w:r>
    </w:p>
    <w:p w:rsidR="009B7F37" w:rsidRPr="00E947C7" w:rsidRDefault="00000000" w:rsidP="00E947C7">
      <w:pPr>
        <w:pStyle w:val="BodyText"/>
        <w:spacing w:line="360" w:lineRule="auto"/>
        <w:jc w:val="both"/>
        <w:rPr>
          <w:rFonts w:ascii="Times New Roman" w:hAnsi="Times New Roman" w:cs="Times New Roman"/>
        </w:rPr>
      </w:pPr>
      <w:bookmarkStart w:id="9" w:name="eq-2"/>
      <m:oMathPara>
        <m:oMathParaPr>
          <m:jc m:val="center"/>
        </m:oMathParaPr>
        <m:oMath>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num>
            <m:den>
              <m:r>
                <w:rPr>
                  <w:rFonts w:ascii="Cambria Math" w:hAnsi="Cambria Math" w:cs="Times New Roman"/>
                </w:rPr>
                <m:t>2</m:t>
              </m:r>
            </m:den>
          </m:f>
          <m:r>
            <w:rPr>
              <w:rFonts w:ascii="Cambria Math" w:hAnsi="Cambria Math" w:cs="Times New Roman"/>
            </w:rPr>
            <m:t>  </m:t>
          </m:r>
          <m:d>
            <m:dPr>
              <m:ctrlPr>
                <w:rPr>
                  <w:rFonts w:ascii="Cambria Math" w:hAnsi="Cambria Math" w:cs="Times New Roman"/>
                </w:rPr>
              </m:ctrlPr>
            </m:dPr>
            <m:e>
              <m:r>
                <w:rPr>
                  <w:rFonts w:ascii="Cambria Math" w:hAnsi="Cambria Math" w:cs="Times New Roman"/>
                </w:rPr>
                <m:t>2</m:t>
              </m:r>
            </m:e>
          </m:d>
        </m:oMath>
      </m:oMathPara>
      <w:bookmarkEnd w:id="9"/>
    </w:p>
    <w:p w:rsidR="009B7F37" w:rsidRPr="00296F4B" w:rsidRDefault="00000000" w:rsidP="00E947C7">
      <w:pPr>
        <w:pStyle w:val="Heading2"/>
        <w:spacing w:line="360" w:lineRule="auto"/>
        <w:jc w:val="both"/>
        <w:rPr>
          <w:rFonts w:ascii="Times New Roman" w:hAnsi="Times New Roman" w:cs="Times New Roman"/>
          <w:color w:val="000000" w:themeColor="text1"/>
        </w:rPr>
      </w:pPr>
      <w:bookmarkStart w:id="10" w:name="X6f8a70049a30d56f58f84797e28e1e64c37672d"/>
      <w:bookmarkEnd w:id="2"/>
      <w:r w:rsidRPr="00296F4B">
        <w:rPr>
          <w:rFonts w:ascii="Times New Roman" w:hAnsi="Times New Roman" w:cs="Times New Roman"/>
          <w:color w:val="000000" w:themeColor="text1"/>
        </w:rPr>
        <w:t xml:space="preserve">Estimating an interaction effect size based on a Cohen’s </w:t>
      </w:r>
      <w:r w:rsidRPr="00296F4B">
        <w:rPr>
          <w:rFonts w:ascii="Times New Roman" w:hAnsi="Times New Roman" w:cs="Times New Roman"/>
          <w:i/>
          <w:iCs/>
          <w:color w:val="000000" w:themeColor="text1"/>
        </w:rPr>
        <w:t>d</w:t>
      </w:r>
      <w:r w:rsidRPr="00296F4B">
        <w:rPr>
          <w:rFonts w:ascii="Times New Roman" w:hAnsi="Times New Roman" w:cs="Times New Roman"/>
          <w:color w:val="000000" w:themeColor="text1"/>
        </w:rPr>
        <w:t xml:space="preserve"> in a two mixed factorial design or two within-subject ANOVA</w:t>
      </w:r>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The difference-in-differences approach can be extended to mixed factorial designs and within-subject designs [4,5] where the same principle still holds. That is,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boils down to a standardised mean difference for which a priori power analyses can be conducted using a </w:t>
      </w:r>
      <w:r w:rsidRPr="00E947C7">
        <w:rPr>
          <w:rFonts w:ascii="Times New Roman" w:hAnsi="Times New Roman" w:cs="Times New Roman"/>
          <w:i/>
          <w:iCs/>
        </w:rPr>
        <w:t>t</w:t>
      </w:r>
      <w:r w:rsidRPr="00E947C7">
        <w:rPr>
          <w:rFonts w:ascii="Times New Roman" w:hAnsi="Times New Roman" w:cs="Times New Roman"/>
        </w:rPr>
        <w:t xml:space="preserve">-test. The key difference is that the correlation between measurements must be considered. “Int×Power” is a user-friendly web app that allows researchers not only to easily estimate their </w:t>
      </w:r>
      <w:r w:rsidRPr="00E947C7">
        <w:rPr>
          <w:rFonts w:ascii="Times New Roman" w:hAnsi="Times New Roman" w:cs="Times New Roman"/>
        </w:rPr>
        <w:lastRenderedPageBreak/>
        <w:t>expected two-way between-subject interaction and required total sample size to achieve the desired level of power, but also to estimate their expected interaction in 2 x 2 mixed designs assuming a conservative correlation estimate = 0.5 [4]</w:t>
      </w:r>
    </w:p>
    <w:p w:rsidR="009B7F37" w:rsidRPr="00E947C7" w:rsidRDefault="00000000" w:rsidP="00E947C7">
      <w:pPr>
        <w:pStyle w:val="BodyText"/>
        <w:spacing w:line="360" w:lineRule="auto"/>
        <w:jc w:val="both"/>
        <w:rPr>
          <w:rFonts w:ascii="Times New Roman" w:hAnsi="Times New Roman" w:cs="Times New Roman"/>
        </w:rPr>
      </w:pPr>
      <w:r w:rsidRPr="00E947C7">
        <w:rPr>
          <w:rFonts w:ascii="Times New Roman" w:hAnsi="Times New Roman" w:cs="Times New Roman"/>
        </w:rPr>
        <w:t xml:space="preserve">To estimate an interaction effect for a 2 x 2 within-subject factorial design, in addition to the four cell means </w:t>
      </w:r>
      <w:hyperlink w:anchor="tbl-tbl1.1">
        <w:r w:rsidRPr="00E947C7">
          <w:rPr>
            <w:rStyle w:val="Hyperlink"/>
            <w:rFonts w:ascii="Times New Roman" w:hAnsi="Times New Roman" w:cs="Times New Roman"/>
            <w:b/>
            <w:bCs/>
            <w:color w:val="000000" w:themeColor="text1"/>
          </w:rPr>
          <w:t>Table 1</w:t>
        </w:r>
      </w:hyperlink>
      <w:r w:rsidRPr="00E947C7">
        <w:rPr>
          <w:rFonts w:ascii="Times New Roman" w:hAnsi="Times New Roman" w:cs="Times New Roman"/>
        </w:rPr>
        <w:t>, we need the within-subject factor variance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E947C7">
        <w:rPr>
          <w:rFonts w:ascii="Times New Roman" w:hAnsi="Times New Roman" w:cs="Times New Roman"/>
        </w:rPr>
        <w:t xml:space="preserve"> = SD</w:t>
      </w:r>
      <w:r w:rsidRPr="00E947C7">
        <w:rPr>
          <w:rFonts w:ascii="Times New Roman" w:hAnsi="Times New Roman" w:cs="Times New Roman"/>
          <w:vertAlign w:val="superscript"/>
        </w:rPr>
        <w:t>2</w:t>
      </w:r>
      <w:r w:rsidRPr="00E947C7">
        <w:rPr>
          <w:rFonts w:ascii="Times New Roman" w:hAnsi="Times New Roman" w:cs="Times New Roman"/>
        </w:rPr>
        <w:t>) and the correlation (</w:t>
      </w:r>
      <m:oMath>
        <m:r>
          <w:rPr>
            <w:rFonts w:ascii="Cambria Math" w:hAnsi="Cambria Math" w:cs="Times New Roman"/>
          </w:rPr>
          <m:t>ρ</m:t>
        </m:r>
      </m:oMath>
      <w:r w:rsidRPr="00E947C7">
        <w:rPr>
          <w:rFonts w:ascii="Times New Roman" w:hAnsi="Times New Roman" w:cs="Times New Roman"/>
        </w:rPr>
        <w:t>) between measurements. For easiness, we will assume equal variances among the 4 conditions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E947C7">
        <w:rPr>
          <w:rFonts w:ascii="Times New Roman" w:hAnsi="Times New Roman" w:cs="Times New Roman"/>
        </w:rPr>
        <w:t xml:space="preserve"> = 2</w:t>
      </w:r>
      <w:r w:rsidRPr="00E947C7">
        <w:rPr>
          <w:rFonts w:ascii="Times New Roman" w:hAnsi="Times New Roman" w:cs="Times New Roman"/>
          <w:vertAlign w:val="superscript"/>
        </w:rPr>
        <w:t>2</w:t>
      </w:r>
      <w:r w:rsidRPr="00E947C7">
        <w:rPr>
          <w:rFonts w:ascii="Times New Roman" w:hAnsi="Times New Roman" w:cs="Times New Roman"/>
        </w:rPr>
        <w:t>) as well as a common correlation (</w:t>
      </w:r>
      <m:oMath>
        <m:r>
          <w:rPr>
            <w:rFonts w:ascii="Cambria Math" w:hAnsi="Cambria Math" w:cs="Times New Roman"/>
          </w:rPr>
          <m:t>ρ</m:t>
        </m:r>
      </m:oMath>
      <w:r w:rsidRPr="00E947C7">
        <w:rPr>
          <w:rFonts w:ascii="Times New Roman" w:hAnsi="Times New Roman" w:cs="Times New Roman"/>
        </w:rPr>
        <w:t xml:space="preserve"> = 0.8). For a detailed tutorial about how to calculate an interaction effect from a 2 x 2 within-subject design using different variances, readers are referred to Langenberg et al. [5].</w:t>
      </w:r>
    </w:p>
    <w:tbl>
      <w:tblPr>
        <w:tblStyle w:val="Table"/>
        <w:tblW w:w="5000" w:type="pct"/>
        <w:tblLayout w:type="fixed"/>
        <w:tblLook w:val="0000" w:firstRow="0" w:lastRow="0" w:firstColumn="0" w:lastColumn="0" w:noHBand="0" w:noVBand="0"/>
      </w:tblPr>
      <w:tblGrid>
        <w:gridCol w:w="9576"/>
      </w:tblGrid>
      <w:tr w:rsidR="009B7F37" w:rsidRPr="00E947C7">
        <w:tc>
          <w:tcPr>
            <w:tcW w:w="7920" w:type="dxa"/>
          </w:tcPr>
          <w:p w:rsidR="009B7F37" w:rsidRPr="00E947C7" w:rsidRDefault="00296F4B" w:rsidP="00E947C7">
            <w:pPr>
              <w:pStyle w:val="ImageCaption"/>
              <w:spacing w:before="200" w:line="360" w:lineRule="auto"/>
              <w:jc w:val="both"/>
              <w:rPr>
                <w:rFonts w:ascii="Times New Roman" w:hAnsi="Times New Roman" w:cs="Times New Roman"/>
              </w:rPr>
            </w:pPr>
            <w:bookmarkStart w:id="11" w:name="tbl-tbl1.1"/>
            <w:r>
              <w:rPr>
                <w:rFonts w:ascii="Times New Roman" w:hAnsi="Times New Roman" w:cs="Times New Roman"/>
                <w:b/>
                <w:bCs/>
                <w:i w:val="0"/>
                <w:iCs/>
                <w:color w:val="000000" w:themeColor="text1"/>
              </w:rPr>
              <w:t xml:space="preserve">           </w:t>
            </w:r>
            <w:r w:rsidR="00000000" w:rsidRPr="00E947C7">
              <w:rPr>
                <w:rFonts w:ascii="Times New Roman" w:hAnsi="Times New Roman" w:cs="Times New Roman"/>
                <w:b/>
                <w:bCs/>
                <w:i w:val="0"/>
                <w:iCs/>
                <w:color w:val="000000" w:themeColor="text1"/>
              </w:rPr>
              <w:t>Table 1</w:t>
            </w:r>
            <w:r w:rsidR="00000000" w:rsidRPr="00E947C7">
              <w:rPr>
                <w:rFonts w:ascii="Times New Roman" w:hAnsi="Times New Roman" w:cs="Times New Roman"/>
              </w:rPr>
              <w:t xml:space="preserve"> </w:t>
            </w:r>
            <w:r w:rsidR="00000000" w:rsidRPr="00E947C7">
              <w:rPr>
                <w:rFonts w:ascii="Times New Roman" w:hAnsi="Times New Roman" w:cs="Times New Roman"/>
                <w:i w:val="0"/>
                <w:iCs/>
              </w:rPr>
              <w:t>Cell means in a 2 x 2 within-subject design.</w:t>
            </w:r>
          </w:p>
          <w:tbl>
            <w:tblPr>
              <w:tblStyle w:val="Table"/>
              <w:tblW w:w="0" w:type="auto"/>
              <w:jc w:val="center"/>
              <w:tblLayout w:type="fixed"/>
              <w:tblLook w:val="0020" w:firstRow="1" w:lastRow="0" w:firstColumn="0" w:lastColumn="0" w:noHBand="0" w:noVBand="0"/>
            </w:tblPr>
            <w:tblGrid>
              <w:gridCol w:w="2640"/>
              <w:gridCol w:w="2640"/>
              <w:gridCol w:w="2640"/>
            </w:tblGrid>
            <w:tr w:rsidR="009B7F37" w:rsidRPr="00E947C7" w:rsidTr="00296F4B">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4" w:space="0" w:color="auto"/>
                    <w:bottom w:val="single" w:sz="2" w:space="0" w:color="auto"/>
                  </w:tcBorders>
                </w:tcPr>
                <w:p w:rsidR="009B7F37" w:rsidRPr="00E947C7" w:rsidRDefault="009B7F37" w:rsidP="00E947C7">
                  <w:pPr>
                    <w:pStyle w:val="Compact"/>
                    <w:spacing w:line="360" w:lineRule="auto"/>
                    <w:jc w:val="both"/>
                    <w:rPr>
                      <w:rFonts w:ascii="Times New Roman" w:hAnsi="Times New Roman" w:cs="Times New Roman"/>
                    </w:rPr>
                  </w:pPr>
                </w:p>
              </w:tc>
              <w:tc>
                <w:tcPr>
                  <w:tcW w:w="2640" w:type="dxa"/>
                  <w:tcBorders>
                    <w:top w:val="single" w:sz="4" w:space="0" w:color="auto"/>
                    <w:bottom w:val="single" w:sz="2"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Factor A (level 1)</w:t>
                  </w:r>
                </w:p>
              </w:tc>
              <w:tc>
                <w:tcPr>
                  <w:tcW w:w="2640" w:type="dxa"/>
                  <w:tcBorders>
                    <w:top w:val="single" w:sz="4" w:space="0" w:color="auto"/>
                    <w:bottom w:val="single" w:sz="2"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Factor A (level 1)</w:t>
                  </w:r>
                </w:p>
              </w:tc>
            </w:tr>
            <w:tr w:rsidR="009B7F37" w:rsidRPr="00E947C7" w:rsidTr="00296F4B">
              <w:trPr>
                <w:jc w:val="center"/>
              </w:trPr>
              <w:tc>
                <w:tcPr>
                  <w:tcW w:w="2640" w:type="dxa"/>
                  <w:tcBorders>
                    <w:top w:val="single" w:sz="2"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Factor B (level 1)</w:t>
                  </w:r>
                </w:p>
              </w:tc>
              <w:tc>
                <w:tcPr>
                  <w:tcW w:w="2640" w:type="dxa"/>
                  <w:tcBorders>
                    <w:top w:val="single" w:sz="2"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10</w:t>
                  </w:r>
                </w:p>
              </w:tc>
              <w:tc>
                <w:tcPr>
                  <w:tcW w:w="2640" w:type="dxa"/>
                  <w:tcBorders>
                    <w:top w:val="single" w:sz="2"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9</w:t>
                  </w:r>
                </w:p>
              </w:tc>
            </w:tr>
            <w:tr w:rsidR="009B7F37" w:rsidRPr="00E947C7" w:rsidTr="00296F4B">
              <w:trPr>
                <w:jc w:val="center"/>
              </w:trPr>
              <w:tc>
                <w:tcPr>
                  <w:tcW w:w="2640" w:type="dxa"/>
                  <w:tcBorders>
                    <w:bottom w:val="single" w:sz="4"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Factor B (level 2)</w:t>
                  </w:r>
                </w:p>
              </w:tc>
              <w:tc>
                <w:tcPr>
                  <w:tcW w:w="2640" w:type="dxa"/>
                  <w:tcBorders>
                    <w:bottom w:val="single" w:sz="4"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9</w:t>
                  </w:r>
                </w:p>
              </w:tc>
              <w:tc>
                <w:tcPr>
                  <w:tcW w:w="2640" w:type="dxa"/>
                  <w:tcBorders>
                    <w:bottom w:val="single" w:sz="4" w:space="0" w:color="auto"/>
                  </w:tcBorders>
                </w:tcPr>
                <w:p w:rsidR="009B7F37" w:rsidRPr="00E947C7" w:rsidRDefault="00000000" w:rsidP="00E947C7">
                  <w:pPr>
                    <w:pStyle w:val="Compact"/>
                    <w:spacing w:line="360" w:lineRule="auto"/>
                    <w:jc w:val="both"/>
                    <w:rPr>
                      <w:rFonts w:ascii="Times New Roman" w:hAnsi="Times New Roman" w:cs="Times New Roman"/>
                    </w:rPr>
                  </w:pPr>
                  <w:r w:rsidRPr="00E947C7">
                    <w:rPr>
                      <w:rFonts w:ascii="Times New Roman" w:hAnsi="Times New Roman" w:cs="Times New Roman"/>
                    </w:rPr>
                    <w:t>9</w:t>
                  </w:r>
                </w:p>
              </w:tc>
            </w:tr>
            <w:bookmarkEnd w:id="11"/>
          </w:tbl>
          <w:p w:rsidR="009B7F37" w:rsidRPr="00E947C7" w:rsidRDefault="009B7F37" w:rsidP="00E947C7">
            <w:pPr>
              <w:spacing w:line="360" w:lineRule="auto"/>
              <w:jc w:val="both"/>
              <w:rPr>
                <w:rFonts w:ascii="Times New Roman" w:hAnsi="Times New Roman" w:cs="Times New Roman"/>
              </w:rPr>
            </w:pPr>
          </w:p>
        </w:tc>
      </w:tr>
    </w:tbl>
    <w:p w:rsidR="009B7F37" w:rsidRPr="00E947C7" w:rsidRDefault="00000000" w:rsidP="00E947C7">
      <w:pPr>
        <w:pStyle w:val="BodyText"/>
        <w:spacing w:line="360" w:lineRule="auto"/>
        <w:jc w:val="both"/>
        <w:rPr>
          <w:rFonts w:ascii="Times New Roman" w:hAnsi="Times New Roman" w:cs="Times New Roman"/>
        </w:rPr>
      </w:pPr>
      <w:r w:rsidRPr="00E947C7">
        <w:rPr>
          <w:rFonts w:ascii="Times New Roman" w:hAnsi="Times New Roman" w:cs="Times New Roman"/>
        </w:rPr>
        <w:t>To calculate the interaction effect size, we first need to compute the difference of differences as follows:</w:t>
      </w:r>
    </w:p>
    <w:p w:rsidR="009B7F37" w:rsidRPr="00E947C7" w:rsidRDefault="00C165A9" w:rsidP="00E947C7">
      <w:pPr>
        <w:pStyle w:val="BodyText"/>
        <w:spacing w:line="360" w:lineRule="auto"/>
        <w:jc w:val="both"/>
        <w:rPr>
          <w:rFonts w:ascii="Times New Roman" w:hAnsi="Times New Roman" w:cs="Times New Roman"/>
        </w:rPr>
      </w:pPr>
      <w:bookmarkStart w:id="12" w:name="eq-1.2"/>
      <w:r w:rsidRPr="00E947C7">
        <w:rPr>
          <w:rFonts w:ascii="Times New Roman" w:hAnsi="Times New Roman" w:cs="Times New Roman"/>
        </w:rPr>
        <w:t xml:space="preserve">                                                  </w:t>
      </w:r>
      <w:proofErr w:type="spellStart"/>
      <w:proofErr w:type="gramStart"/>
      <w:r w:rsidRPr="00E947C7">
        <w:rPr>
          <w:rFonts w:ascii="Times New Roman" w:hAnsi="Times New Roman" w:cs="Times New Roman"/>
        </w:rPr>
        <w:t>diff</w:t>
      </w:r>
      <w:r w:rsidRPr="00E947C7">
        <w:rPr>
          <w:rFonts w:ascii="Times New Roman" w:hAnsi="Times New Roman" w:cs="Times New Roman"/>
          <w:vertAlign w:val="subscript"/>
        </w:rPr>
        <w:t>A:B</w:t>
      </w:r>
      <w:proofErr w:type="spellEnd"/>
      <w:proofErr w:type="gramEnd"/>
      <w:r w:rsidRPr="00E947C7">
        <w:rPr>
          <w:rFonts w:ascii="Times New Roman" w:hAnsi="Times New Roman" w:cs="Times New Roman"/>
        </w:rPr>
        <w:t xml:space="preserve"> = (A</w:t>
      </w:r>
      <w:r w:rsidRPr="00E947C7">
        <w:rPr>
          <w:rFonts w:ascii="Times New Roman" w:hAnsi="Times New Roman" w:cs="Times New Roman"/>
          <w:vertAlign w:val="subscript"/>
        </w:rPr>
        <w:t>1</w:t>
      </w:r>
      <w:r w:rsidRPr="00E947C7">
        <w:rPr>
          <w:rFonts w:ascii="Times New Roman" w:hAnsi="Times New Roman" w:cs="Times New Roman"/>
        </w:rPr>
        <w:t>B</w:t>
      </w:r>
      <w:r w:rsidRPr="00E947C7">
        <w:rPr>
          <w:rFonts w:ascii="Times New Roman" w:hAnsi="Times New Roman" w:cs="Times New Roman"/>
          <w:vertAlign w:val="subscript"/>
        </w:rPr>
        <w:t>1</w:t>
      </w:r>
      <w:r w:rsidRPr="00E947C7">
        <w:rPr>
          <w:rFonts w:ascii="Times New Roman" w:hAnsi="Times New Roman" w:cs="Times New Roman"/>
        </w:rPr>
        <w:t xml:space="preserve"> - A</w:t>
      </w:r>
      <w:r w:rsidRPr="00E947C7">
        <w:rPr>
          <w:rFonts w:ascii="Times New Roman" w:hAnsi="Times New Roman" w:cs="Times New Roman"/>
          <w:vertAlign w:val="subscript"/>
        </w:rPr>
        <w:t>1</w:t>
      </w:r>
      <w:r w:rsidRPr="00E947C7">
        <w:rPr>
          <w:rFonts w:ascii="Times New Roman" w:hAnsi="Times New Roman" w:cs="Times New Roman"/>
        </w:rPr>
        <w:t>B</w:t>
      </w:r>
      <w:r w:rsidRPr="00E947C7">
        <w:rPr>
          <w:rFonts w:ascii="Times New Roman" w:hAnsi="Times New Roman" w:cs="Times New Roman"/>
          <w:vertAlign w:val="subscript"/>
        </w:rPr>
        <w:t>2</w:t>
      </w:r>
      <w:r w:rsidRPr="00E947C7">
        <w:rPr>
          <w:rFonts w:ascii="Times New Roman" w:hAnsi="Times New Roman" w:cs="Times New Roman"/>
        </w:rPr>
        <w:t>) - (A</w:t>
      </w:r>
      <w:r w:rsidRPr="00E947C7">
        <w:rPr>
          <w:rFonts w:ascii="Times New Roman" w:hAnsi="Times New Roman" w:cs="Times New Roman"/>
          <w:vertAlign w:val="subscript"/>
        </w:rPr>
        <w:t>2</w:t>
      </w:r>
      <w:r w:rsidRPr="00E947C7">
        <w:rPr>
          <w:rFonts w:ascii="Times New Roman" w:hAnsi="Times New Roman" w:cs="Times New Roman"/>
        </w:rPr>
        <w:t>B</w:t>
      </w:r>
      <w:r w:rsidRPr="00E947C7">
        <w:rPr>
          <w:rFonts w:ascii="Times New Roman" w:hAnsi="Times New Roman" w:cs="Times New Roman"/>
          <w:vertAlign w:val="subscript"/>
        </w:rPr>
        <w:t>1</w:t>
      </w:r>
      <w:r w:rsidRPr="00E947C7">
        <w:rPr>
          <w:rFonts w:ascii="Times New Roman" w:hAnsi="Times New Roman" w:cs="Times New Roman"/>
        </w:rPr>
        <w:t xml:space="preserve"> - A</w:t>
      </w:r>
      <w:r w:rsidRPr="00E947C7">
        <w:rPr>
          <w:rFonts w:ascii="Times New Roman" w:hAnsi="Times New Roman" w:cs="Times New Roman"/>
          <w:vertAlign w:val="subscript"/>
        </w:rPr>
        <w:t>2</w:t>
      </w:r>
      <w:r w:rsidRPr="00E947C7">
        <w:rPr>
          <w:rFonts w:ascii="Times New Roman" w:hAnsi="Times New Roman" w:cs="Times New Roman"/>
        </w:rPr>
        <w:t>B</w:t>
      </w:r>
      <w:r w:rsidRPr="00E947C7">
        <w:rPr>
          <w:rFonts w:ascii="Times New Roman" w:hAnsi="Times New Roman" w:cs="Times New Roman"/>
          <w:vertAlign w:val="subscript"/>
        </w:rPr>
        <w:t>2</w:t>
      </w:r>
      <w:r w:rsidRPr="00E947C7">
        <w:rPr>
          <w:rFonts w:ascii="Times New Roman" w:hAnsi="Times New Roman" w:cs="Times New Roman"/>
        </w:rPr>
        <w:t xml:space="preserve">) </w:t>
      </w:r>
      <w:bookmarkEnd w:id="12"/>
      <w:r w:rsidR="00963286" w:rsidRPr="00E947C7">
        <w:rPr>
          <w:rFonts w:ascii="Times New Roman" w:hAnsi="Times New Roman" w:cs="Times New Roman"/>
        </w:rPr>
        <w:t xml:space="preserve">     </w:t>
      </w:r>
      <m:oMath>
        <m:d>
          <m:dPr>
            <m:ctrlPr>
              <w:rPr>
                <w:rFonts w:ascii="Cambria Math" w:hAnsi="Cambria Math" w:cs="Times New Roman"/>
              </w:rPr>
            </m:ctrlPr>
          </m:dPr>
          <m:e>
            <m:r>
              <w:rPr>
                <w:rFonts w:ascii="Cambria Math" w:hAnsi="Cambria Math" w:cs="Times New Roman"/>
              </w:rPr>
              <m:t>3</m:t>
            </m:r>
          </m:e>
        </m:d>
      </m:oMath>
    </w:p>
    <w:p w:rsidR="009B7F37" w:rsidRPr="00E947C7" w:rsidRDefault="00C165A9"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                                                            </w:t>
      </w:r>
      <w:r w:rsidR="00296F4B">
        <w:rPr>
          <w:rFonts w:ascii="Times New Roman" w:hAnsi="Times New Roman" w:cs="Times New Roman"/>
        </w:rPr>
        <w:t xml:space="preserve"> </w:t>
      </w:r>
      <w:proofErr w:type="spellStart"/>
      <w:proofErr w:type="gramStart"/>
      <w:r w:rsidRPr="00E947C7">
        <w:rPr>
          <w:rFonts w:ascii="Times New Roman" w:hAnsi="Times New Roman" w:cs="Times New Roman"/>
        </w:rPr>
        <w:t>diff</w:t>
      </w:r>
      <w:r w:rsidRPr="00E947C7">
        <w:rPr>
          <w:rFonts w:ascii="Times New Roman" w:hAnsi="Times New Roman" w:cs="Times New Roman"/>
          <w:vertAlign w:val="subscript"/>
        </w:rPr>
        <w:t>A:B</w:t>
      </w:r>
      <w:proofErr w:type="spellEnd"/>
      <w:proofErr w:type="gramEnd"/>
      <w:r w:rsidRPr="00E947C7">
        <w:rPr>
          <w:rFonts w:ascii="Times New Roman" w:hAnsi="Times New Roman" w:cs="Times New Roman"/>
        </w:rPr>
        <w:t xml:space="preserve"> = 10 - 9 - 9 + 9 </w:t>
      </w:r>
    </w:p>
    <w:p w:rsidR="009B7F37" w:rsidRPr="00E947C7" w:rsidRDefault="00000000" w:rsidP="00E947C7">
      <w:pPr>
        <w:pStyle w:val="FirstParagraph"/>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1</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We then need to compute the covariance, which in a 2 x 2 within-subject design can be computes using </w:t>
      </w:r>
      <w:hyperlink w:anchor="eq-1.3">
        <w:r w:rsidRPr="00E947C7">
          <w:rPr>
            <w:rStyle w:val="Hyperlink"/>
            <w:rFonts w:ascii="Times New Roman" w:hAnsi="Times New Roman" w:cs="Times New Roman"/>
          </w:rPr>
          <w:t>Equation 4</w:t>
        </w:r>
      </w:hyperlink>
      <w:r w:rsidRPr="00E947C7">
        <w:rPr>
          <w:rFonts w:ascii="Times New Roman" w:hAnsi="Times New Roman" w:cs="Times New Roman"/>
        </w:rPr>
        <w:t>:</w:t>
      </w:r>
    </w:p>
    <w:bookmarkStart w:id="13" w:name="eq-1.3"/>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σ</m:t>
              </m:r>
            </m:e>
            <m:sub>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cov</m:t>
              </m:r>
            </m:sub>
          </m:sSub>
          <m:r>
            <w:rPr>
              <w:rFonts w:ascii="Cambria Math" w:hAnsi="Cambria Math" w:cs="Times New Roman"/>
            </w:rPr>
            <m:t xml:space="preserve"> </m:t>
          </m:r>
          <m:d>
            <m:dPr>
              <m:ctrlPr>
                <w:rPr>
                  <w:rFonts w:ascii="Cambria Math" w:hAnsi="Cambria Math" w:cs="Times New Roman"/>
                </w:rPr>
              </m:ctrlPr>
            </m:dPr>
            <m:e>
              <m:r>
                <w:rPr>
                  <w:rFonts w:ascii="Cambria Math" w:hAnsi="Cambria Math" w:cs="Times New Roman"/>
                </w:rPr>
                <m:t>4</m:t>
              </m:r>
            </m:e>
          </m:d>
        </m:oMath>
      </m:oMathPara>
      <w:bookmarkEnd w:id="13"/>
    </w:p>
    <w:p w:rsidR="009B7F37" w:rsidRPr="00E947C7" w:rsidRDefault="00000000" w:rsidP="00E947C7">
      <w:pPr>
        <w:pStyle w:val="FirstParagraph"/>
        <w:spacing w:line="36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σ</m:t>
              </m:r>
            </m:e>
            <m:sub>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ρ</m:t>
              </m:r>
            </m:e>
          </m:d>
        </m:oMath>
      </m:oMathPara>
    </w:p>
    <w:p w:rsidR="009B7F37" w:rsidRPr="00E947C7" w:rsidRDefault="00000000" w:rsidP="00E947C7">
      <w:pPr>
        <w:pStyle w:val="FirstParagraph"/>
        <w:spacing w:line="36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σ</m:t>
              </m:r>
            </m:e>
            <m:sub>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4</m:t>
              </m:r>
              <m:r>
                <m:rPr>
                  <m:sty m:val="p"/>
                </m:rPr>
                <w:rPr>
                  <w:rFonts w:ascii="Cambria Math" w:hAnsi="Cambria Math" w:cs="Times New Roman"/>
                </w:rPr>
                <m:t>⋅</m:t>
              </m:r>
              <m:r>
                <w:rPr>
                  <w:rFonts w:ascii="Cambria Math" w:hAnsi="Cambria Math" w:cs="Times New Roman"/>
                </w:rPr>
                <m:t>0.8</m:t>
              </m:r>
            </m:e>
          </m:d>
        </m:oMath>
      </m:oMathPara>
    </w:p>
    <w:p w:rsidR="009B7F37" w:rsidRPr="00E947C7" w:rsidRDefault="00000000" w:rsidP="00E947C7">
      <w:pPr>
        <w:pStyle w:val="FirstParagraph"/>
        <w:spacing w:line="36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σ</m:t>
              </m:r>
            </m:e>
            <m:sub>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3.2</m:t>
          </m:r>
        </m:oMath>
      </m:oMathPara>
    </w:p>
    <w:p w:rsidR="009B7F37" w:rsidRPr="00E947C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lastRenderedPageBreak/>
        <w:t xml:space="preserve">where </w:t>
      </w:r>
      <w:r w:rsidRPr="00E947C7">
        <w:rPr>
          <w:rFonts w:ascii="Times New Roman" w:hAnsi="Times New Roman" w:cs="Times New Roman"/>
          <w:i/>
          <w:iCs/>
        </w:rPr>
        <w:t>k</w:t>
      </w:r>
      <w:r w:rsidRPr="00E947C7">
        <w:rPr>
          <w:rFonts w:ascii="Times New Roman" w:hAnsi="Times New Roman" w:cs="Times New Roman"/>
        </w:rPr>
        <w:t xml:space="preserve"> denoting the number of factors in the study design (i.e., </w:t>
      </w:r>
      <w:r w:rsidRPr="00E947C7">
        <w:rPr>
          <w:rFonts w:ascii="Times New Roman" w:hAnsi="Times New Roman" w:cs="Times New Roman"/>
          <w:i/>
          <w:iCs/>
        </w:rPr>
        <w:t>k</w:t>
      </w:r>
      <w:r w:rsidRPr="00E947C7">
        <w:rPr>
          <w:rFonts w:ascii="Times New Roman" w:hAnsi="Times New Roman" w:cs="Times New Roman"/>
        </w:rPr>
        <w:t xml:space="preserve"> = 2). Once we have calculated </w:t>
      </w:r>
      <w:proofErr w:type="gramStart"/>
      <w:r w:rsidRPr="00E947C7">
        <w:rPr>
          <w:rFonts w:ascii="Times New Roman" w:hAnsi="Times New Roman" w:cs="Times New Roman"/>
        </w:rPr>
        <w:t>diff</w:t>
      </w:r>
      <w:r w:rsidRPr="00E947C7">
        <w:rPr>
          <w:rFonts w:ascii="Times New Roman" w:hAnsi="Times New Roman" w:cs="Times New Roman"/>
          <w:vertAlign w:val="subscript"/>
        </w:rPr>
        <w:t>A:B</w:t>
      </w:r>
      <w:proofErr w:type="gramEnd"/>
      <w:r w:rsidRPr="00E947C7">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diffA</m:t>
            </m:r>
            <m:r>
              <m:rPr>
                <m:sty m:val="p"/>
              </m:rPr>
              <w:rPr>
                <w:rFonts w:ascii="Cambria Math" w:hAnsi="Cambria Math" w:cs="Times New Roman"/>
              </w:rPr>
              <m:t>:</m:t>
            </m:r>
            <m:r>
              <w:rPr>
                <w:rFonts w:ascii="Cambria Math" w:hAnsi="Cambria Math" w:cs="Times New Roman"/>
              </w:rPr>
              <m:t>B</m:t>
            </m:r>
          </m:sub>
          <m:sup>
            <m:r>
              <w:rPr>
                <w:rFonts w:ascii="Cambria Math" w:hAnsi="Cambria Math" w:cs="Times New Roman"/>
              </w:rPr>
              <m:t>2</m:t>
            </m:r>
          </m:sup>
        </m:sSubSup>
      </m:oMath>
      <w:r w:rsidRPr="00E947C7">
        <w:rPr>
          <w:rFonts w:ascii="Times New Roman" w:hAnsi="Times New Roman" w:cs="Times New Roman"/>
        </w:rPr>
        <w:t xml:space="preserve"> we can calculate Cohen’s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using </w:t>
      </w:r>
      <w:r w:rsidRPr="00296F4B">
        <w:rPr>
          <w:b/>
          <w:bCs/>
          <w:color w:val="000000" w:themeColor="text1"/>
        </w:rPr>
        <w:fldChar w:fldCharType="begin"/>
      </w:r>
      <w:r w:rsidRPr="00296F4B">
        <w:rPr>
          <w:b/>
          <w:bCs/>
          <w:color w:val="000000" w:themeColor="text1"/>
        </w:rPr>
        <w:instrText>HYPERLINK \l "eq-1.4" \h</w:instrText>
      </w:r>
      <w:r w:rsidRPr="00296F4B">
        <w:rPr>
          <w:b/>
          <w:bCs/>
          <w:color w:val="000000" w:themeColor="text1"/>
        </w:rPr>
      </w:r>
      <w:r w:rsidRPr="00296F4B">
        <w:rPr>
          <w:b/>
          <w:bCs/>
          <w:color w:val="000000" w:themeColor="text1"/>
        </w:rPr>
        <w:fldChar w:fldCharType="separate"/>
      </w:r>
      <w:r w:rsidRPr="00296F4B">
        <w:rPr>
          <w:rStyle w:val="Hyperlink"/>
          <w:rFonts w:ascii="Times New Roman" w:hAnsi="Times New Roman" w:cs="Times New Roman"/>
          <w:b/>
          <w:bCs/>
          <w:color w:val="000000" w:themeColor="text1"/>
        </w:rPr>
        <w:t>Equation 5</w:t>
      </w:r>
      <w:r w:rsidRPr="00296F4B">
        <w:rPr>
          <w:rStyle w:val="Hyperlink"/>
          <w:rFonts w:ascii="Times New Roman" w:hAnsi="Times New Roman" w:cs="Times New Roman"/>
          <w:b/>
          <w:bCs/>
          <w:color w:val="000000" w:themeColor="text1"/>
        </w:rPr>
        <w:fldChar w:fldCharType="end"/>
      </w:r>
      <w:r w:rsidRPr="00E947C7">
        <w:rPr>
          <w:rFonts w:ascii="Times New Roman" w:hAnsi="Times New Roman" w:cs="Times New Roman"/>
        </w:rPr>
        <w:t>:</w:t>
      </w:r>
    </w:p>
    <w:bookmarkStart w:id="14" w:name="eq-1.4"/>
    <w:p w:rsidR="009B7F37" w:rsidRPr="00E947C7" w:rsidRDefault="00000000" w:rsidP="00E947C7">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r>
                            <m:rPr>
                              <m:nor/>
                            </m:rPr>
                            <w:rPr>
                              <w:rFonts w:ascii="Times New Roman" w:hAnsi="Times New Roman" w:cs="Times New Roman"/>
                            </w:rPr>
                            <m:t>diff</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sub>
                  </m:sSub>
                </m:e>
              </m:rad>
            </m:den>
          </m:f>
          <m:r>
            <w:rPr>
              <w:rFonts w:ascii="Cambria Math" w:hAnsi="Cambria Math" w:cs="Times New Roman"/>
            </w:rPr>
            <m:t>  </m:t>
          </m:r>
          <m:d>
            <m:dPr>
              <m:ctrlPr>
                <w:rPr>
                  <w:rFonts w:ascii="Cambria Math" w:hAnsi="Cambria Math" w:cs="Times New Roman"/>
                </w:rPr>
              </m:ctrlPr>
            </m:dPr>
            <m:e>
              <m:r>
                <w:rPr>
                  <w:rFonts w:ascii="Cambria Math" w:hAnsi="Cambria Math" w:cs="Times New Roman"/>
                </w:rPr>
                <m:t>5</m:t>
              </m:r>
            </m:e>
          </m:d>
        </m:oMath>
      </m:oMathPara>
      <w:bookmarkEnd w:id="14"/>
    </w:p>
    <w:p w:rsidR="009B7F37" w:rsidRPr="00E947C7" w:rsidRDefault="00000000" w:rsidP="00E947C7">
      <w:pPr>
        <w:pStyle w:val="FirstParagraph"/>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int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3.2</m:t>
                  </m:r>
                </m:e>
              </m:rad>
            </m:den>
          </m:f>
        </m:oMath>
      </m:oMathPara>
    </w:p>
    <w:p w:rsidR="009B7F37" w:rsidRDefault="00000000" w:rsidP="00E947C7">
      <w:pPr>
        <w:pStyle w:val="FirstParagraph"/>
        <w:spacing w:line="360" w:lineRule="auto"/>
        <w:jc w:val="both"/>
        <w:rPr>
          <w:rFonts w:ascii="Times New Roman" w:hAnsi="Times New Roman" w:cs="Times New Roman"/>
        </w:rPr>
      </w:pPr>
      <w:r w:rsidRPr="00E947C7">
        <w:rPr>
          <w:rFonts w:ascii="Times New Roman" w:hAnsi="Times New Roman" w:cs="Times New Roman"/>
        </w:rPr>
        <w:t xml:space="preserve">Plugging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 0.56, </w:t>
      </w:r>
      <m:oMath>
        <m:r>
          <w:rPr>
            <w:rFonts w:ascii="Cambria Math" w:hAnsi="Cambria Math" w:cs="Times New Roman"/>
          </w:rPr>
          <m:t>α</m:t>
        </m:r>
      </m:oMath>
      <w:r w:rsidRPr="00E947C7">
        <w:rPr>
          <w:rFonts w:ascii="Times New Roman" w:hAnsi="Times New Roman" w:cs="Times New Roman"/>
        </w:rPr>
        <w:t xml:space="preserve"> = 0.05, and statistical power = 0.8 into G*Power yields a total sample size of 28 participants for a two-sided paired </w:t>
      </w:r>
      <w:r w:rsidRPr="00E947C7">
        <w:rPr>
          <w:rFonts w:ascii="Times New Roman" w:hAnsi="Times New Roman" w:cs="Times New Roman"/>
          <w:i/>
          <w:iCs/>
        </w:rPr>
        <w:t>t</w:t>
      </w:r>
      <w:r w:rsidRPr="00E947C7">
        <w:rPr>
          <w:rFonts w:ascii="Times New Roman" w:hAnsi="Times New Roman" w:cs="Times New Roman"/>
        </w:rPr>
        <w:t xml:space="preserve">-test. This </w:t>
      </w:r>
      <w:r w:rsidRPr="00E947C7">
        <w:rPr>
          <w:rFonts w:ascii="Times New Roman" w:hAnsi="Times New Roman" w:cs="Times New Roman"/>
          <w:i/>
          <w:iCs/>
        </w:rPr>
        <w:t>t</w:t>
      </w:r>
      <w:r w:rsidRPr="00E947C7">
        <w:rPr>
          <w:rFonts w:ascii="Times New Roman" w:hAnsi="Times New Roman" w:cs="Times New Roman"/>
        </w:rPr>
        <w:t xml:space="preserve">-test approach would also be mathematically equivalent to conducting an a priori power analysis for a 2 x 2 within-subject ANOVA as the statistical test to detect an interaction effect size </w:t>
      </w:r>
      <w:r w:rsidRPr="00E947C7">
        <w:rPr>
          <w:rFonts w:ascii="Times New Roman" w:hAnsi="Times New Roman" w:cs="Times New Roman"/>
          <w:i/>
          <w:iCs/>
        </w:rPr>
        <w:t>f</w:t>
      </w:r>
      <w:r w:rsidRPr="00E947C7">
        <w:rPr>
          <w:rFonts w:ascii="Times New Roman" w:hAnsi="Times New Roman" w:cs="Times New Roman"/>
        </w:rPr>
        <w:t xml:space="preserve"> = </w:t>
      </w:r>
      <w:r w:rsidRPr="00E947C7">
        <w:rPr>
          <w:rFonts w:ascii="Times New Roman" w:hAnsi="Times New Roman" w:cs="Times New Roman"/>
          <w:i/>
          <w:iCs/>
        </w:rPr>
        <w:t>d</w:t>
      </w:r>
      <w:r w:rsidRPr="00E947C7">
        <w:rPr>
          <w:rFonts w:ascii="Times New Roman" w:hAnsi="Times New Roman" w:cs="Times New Roman"/>
          <w:i/>
          <w:iCs/>
          <w:vertAlign w:val="subscript"/>
        </w:rPr>
        <w:t>int</w:t>
      </w:r>
      <w:r w:rsidRPr="00E947C7">
        <w:rPr>
          <w:rFonts w:ascii="Times New Roman" w:hAnsi="Times New Roman" w:cs="Times New Roman"/>
        </w:rPr>
        <w:t xml:space="preserve"> in G*Power. Alternatively, if the standardised mean difference between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E947C7">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E947C7">
        <w:rPr>
          <w:rFonts w:ascii="Times New Roman" w:hAnsi="Times New Roman" w:cs="Times New Roman"/>
        </w:rPr>
        <w:t xml:space="preserve">, and between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E947C7">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E947C7">
        <w:rPr>
          <w:rFonts w:ascii="Times New Roman" w:hAnsi="Times New Roman" w:cs="Times New Roman"/>
        </w:rPr>
        <w:t xml:space="preserve"> were reported as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i/>
          <w:iCs/>
        </w:rPr>
        <w:t>,</w:t>
      </w:r>
      <w:r w:rsidRPr="00E947C7">
        <w:rPr>
          <w:rFonts w:ascii="Times New Roman" w:hAnsi="Times New Roman" w:cs="Times New Roman"/>
        </w:rPr>
        <w:t xml:space="preserve"> researchers could plug the average of these two </w:t>
      </w:r>
      <w:r w:rsidRPr="00E947C7">
        <w:rPr>
          <w:rFonts w:ascii="Times New Roman" w:hAnsi="Times New Roman" w:cs="Times New Roman"/>
          <w:i/>
          <w:iCs/>
        </w:rPr>
        <w:t>d</w:t>
      </w:r>
      <w:r w:rsidRPr="00E947C7">
        <w:rPr>
          <w:rFonts w:ascii="Times New Roman" w:hAnsi="Times New Roman" w:cs="Times New Roman"/>
          <w:i/>
          <w:iCs/>
          <w:vertAlign w:val="subscript"/>
        </w:rPr>
        <w:t>z</w:t>
      </w:r>
      <w:r w:rsidRPr="00E947C7">
        <w:rPr>
          <w:rFonts w:ascii="Times New Roman" w:hAnsi="Times New Roman" w:cs="Times New Roman"/>
        </w:rPr>
        <w:t xml:space="preserve"> in G*Power to estimate the interaction effect size [6].</w:t>
      </w: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Default="00296F4B" w:rsidP="00296F4B">
      <w:pPr>
        <w:pStyle w:val="BodyText"/>
      </w:pPr>
    </w:p>
    <w:p w:rsidR="00296F4B" w:rsidRPr="00296F4B" w:rsidRDefault="00296F4B" w:rsidP="00296F4B">
      <w:pPr>
        <w:pStyle w:val="BodyText"/>
      </w:pPr>
    </w:p>
    <w:p w:rsidR="00C165A9" w:rsidRPr="00E947C7" w:rsidRDefault="00C165A9" w:rsidP="00E947C7">
      <w:pPr>
        <w:pStyle w:val="Heading2"/>
        <w:spacing w:line="360" w:lineRule="auto"/>
        <w:jc w:val="both"/>
        <w:rPr>
          <w:rFonts w:ascii="Times New Roman" w:hAnsi="Times New Roman" w:cs="Times New Roman"/>
          <w:b/>
          <w:bCs/>
          <w:color w:val="000000" w:themeColor="text1"/>
        </w:rPr>
      </w:pPr>
      <w:bookmarkStart w:id="15" w:name="ref-takei2021"/>
      <w:bookmarkStart w:id="16" w:name="refs"/>
      <w:r w:rsidRPr="00E947C7">
        <w:rPr>
          <w:rFonts w:ascii="Times New Roman" w:hAnsi="Times New Roman" w:cs="Times New Roman"/>
          <w:b/>
          <w:bCs/>
          <w:color w:val="000000" w:themeColor="text1"/>
        </w:rPr>
        <w:lastRenderedPageBreak/>
        <w:t xml:space="preserve">References </w:t>
      </w:r>
    </w:p>
    <w:p w:rsidR="009B7F37" w:rsidRPr="00E947C7" w:rsidRDefault="00000000" w:rsidP="00E947C7">
      <w:pPr>
        <w:pStyle w:val="Bibliography"/>
        <w:spacing w:line="360" w:lineRule="auto"/>
        <w:jc w:val="both"/>
        <w:rPr>
          <w:rFonts w:ascii="Times New Roman" w:hAnsi="Times New Roman" w:cs="Times New Roman"/>
        </w:rPr>
      </w:pPr>
      <w:r w:rsidRPr="00E947C7">
        <w:rPr>
          <w:rFonts w:ascii="Times New Roman" w:hAnsi="Times New Roman" w:cs="Times New Roman"/>
        </w:rPr>
        <w:t xml:space="preserve">1. Takei N, </w:t>
      </w:r>
      <w:proofErr w:type="spellStart"/>
      <w:r w:rsidRPr="00E947C7">
        <w:rPr>
          <w:rFonts w:ascii="Times New Roman" w:hAnsi="Times New Roman" w:cs="Times New Roman"/>
        </w:rPr>
        <w:t>Kakinoki</w:t>
      </w:r>
      <w:proofErr w:type="spellEnd"/>
      <w:r w:rsidRPr="00E947C7">
        <w:rPr>
          <w:rFonts w:ascii="Times New Roman" w:hAnsi="Times New Roman" w:cs="Times New Roman"/>
        </w:rPr>
        <w:t xml:space="preserve"> K, Girard O, Hatta H. No Influence of Acute Moderate Normobaric Hypoxia on Performance and Blood Lactate Concentration Responses to Repeated Wingates. International Journal of Sports Physiology and Performance. 2021;16:154–7. </w:t>
      </w:r>
      <w:hyperlink r:id="rId12">
        <w:r w:rsidRPr="00E947C7">
          <w:rPr>
            <w:rStyle w:val="Hyperlink"/>
            <w:rFonts w:ascii="Times New Roman" w:hAnsi="Times New Roman" w:cs="Times New Roman"/>
          </w:rPr>
          <w:t>https://doi.org/10.1123/ijspp.2019-0933</w:t>
        </w:r>
      </w:hyperlink>
    </w:p>
    <w:p w:rsidR="009B7F37" w:rsidRPr="00E947C7" w:rsidRDefault="00000000" w:rsidP="00E947C7">
      <w:pPr>
        <w:pStyle w:val="Bibliography"/>
        <w:spacing w:line="360" w:lineRule="auto"/>
        <w:jc w:val="both"/>
        <w:rPr>
          <w:rFonts w:ascii="Times New Roman" w:hAnsi="Times New Roman" w:cs="Times New Roman"/>
        </w:rPr>
      </w:pPr>
      <w:bookmarkStart w:id="17" w:name="ref-kon2015"/>
      <w:bookmarkEnd w:id="15"/>
      <w:r w:rsidRPr="00E947C7">
        <w:rPr>
          <w:rFonts w:ascii="Times New Roman" w:hAnsi="Times New Roman" w:cs="Times New Roman"/>
        </w:rPr>
        <w:t xml:space="preserve">2. Kon M, Nakagaki K, Ebi Y, Nishiyama T, Russell AP. Hormonal and metabolic responses to repeated cycling sprints under different hypoxic conditions. Growth Hormone &amp; IGF Research [Internet]. 2015;25:121–6. </w:t>
      </w:r>
      <w:hyperlink r:id="rId13">
        <w:r w:rsidRPr="00E947C7">
          <w:rPr>
            <w:rStyle w:val="Hyperlink"/>
            <w:rFonts w:ascii="Times New Roman" w:hAnsi="Times New Roman" w:cs="Times New Roman"/>
          </w:rPr>
          <w:t>https://doi.org/10.1016/j.ghir.2015.03.002</w:t>
        </w:r>
      </w:hyperlink>
    </w:p>
    <w:p w:rsidR="009B7F37" w:rsidRPr="00E947C7" w:rsidRDefault="00000000" w:rsidP="00E947C7">
      <w:pPr>
        <w:pStyle w:val="Bibliography"/>
        <w:spacing w:line="360" w:lineRule="auto"/>
        <w:jc w:val="both"/>
        <w:rPr>
          <w:rFonts w:ascii="Times New Roman" w:hAnsi="Times New Roman" w:cs="Times New Roman"/>
        </w:rPr>
      </w:pPr>
      <w:bookmarkStart w:id="18" w:name="ref-lakens_calculating_es"/>
      <w:bookmarkEnd w:id="17"/>
      <w:r w:rsidRPr="00E947C7">
        <w:rPr>
          <w:rFonts w:ascii="Times New Roman" w:hAnsi="Times New Roman" w:cs="Times New Roman"/>
        </w:rPr>
        <w:t xml:space="preserve">3. Lakens D. Calculating and reporting effect sizes to facilitate cumulative science: A practical primer for t-tests and ANOVAs. Frontiers in Psychology. 2013;4:863. </w:t>
      </w:r>
      <w:hyperlink r:id="rId14">
        <w:r w:rsidRPr="00E947C7">
          <w:rPr>
            <w:rStyle w:val="Hyperlink"/>
            <w:rFonts w:ascii="Times New Roman" w:hAnsi="Times New Roman" w:cs="Times New Roman"/>
          </w:rPr>
          <w:t>https://doi.org/10.3389/fpsyg.2013.00863</w:t>
        </w:r>
      </w:hyperlink>
    </w:p>
    <w:p w:rsidR="009B7F37" w:rsidRPr="00E947C7" w:rsidRDefault="00000000" w:rsidP="00E947C7">
      <w:pPr>
        <w:pStyle w:val="Bibliography"/>
        <w:spacing w:line="360" w:lineRule="auto"/>
        <w:jc w:val="both"/>
        <w:rPr>
          <w:rFonts w:ascii="Times New Roman" w:hAnsi="Times New Roman" w:cs="Times New Roman"/>
        </w:rPr>
      </w:pPr>
      <w:bookmarkStart w:id="19" w:name="ref-sommet2023"/>
      <w:bookmarkEnd w:id="18"/>
      <w:r w:rsidRPr="00E947C7">
        <w:rPr>
          <w:rFonts w:ascii="Times New Roman" w:hAnsi="Times New Roman" w:cs="Times New Roman"/>
        </w:rPr>
        <w:t xml:space="preserve">4. Sommet N, Weissman DL, Cheutin N, Elliot AJ. How Many Participants Do I Need to Test an Interaction? Conducting an Appropriate Power Analysis and Achieving Sufficient Power to Detect an Interaction. Advances in Methods and Practices in Psychological Science. SAGE Publications Inc; 2023;6:25152459231178728. </w:t>
      </w:r>
      <w:hyperlink r:id="rId15">
        <w:r w:rsidRPr="00E947C7">
          <w:rPr>
            <w:rStyle w:val="Hyperlink"/>
            <w:rFonts w:ascii="Times New Roman" w:hAnsi="Times New Roman" w:cs="Times New Roman"/>
          </w:rPr>
          <w:t>https://doi.org/10.1177/25152459231178728</w:t>
        </w:r>
      </w:hyperlink>
    </w:p>
    <w:p w:rsidR="009B7F37" w:rsidRPr="00E947C7" w:rsidRDefault="00000000" w:rsidP="00E947C7">
      <w:pPr>
        <w:pStyle w:val="Bibliography"/>
        <w:spacing w:line="360" w:lineRule="auto"/>
        <w:jc w:val="both"/>
        <w:rPr>
          <w:rFonts w:ascii="Times New Roman" w:hAnsi="Times New Roman" w:cs="Times New Roman"/>
        </w:rPr>
      </w:pPr>
      <w:bookmarkStart w:id="20" w:name="ref-langenberg_tutorial"/>
      <w:bookmarkEnd w:id="19"/>
      <w:r w:rsidRPr="00E947C7">
        <w:rPr>
          <w:rFonts w:ascii="Times New Roman" w:hAnsi="Times New Roman" w:cs="Times New Roman"/>
        </w:rPr>
        <w:t xml:space="preserve">5. Langenberg B, Janczyk M, Koob V, Kliegl R, Mayer A. A tutorial on using the paired t test for power calculations in repeated measures ANOVA with interactions. Behavior Research Methods. 2023;55:2467–84. </w:t>
      </w:r>
      <w:hyperlink r:id="rId16">
        <w:r w:rsidRPr="00E947C7">
          <w:rPr>
            <w:rStyle w:val="Hyperlink"/>
            <w:rFonts w:ascii="Times New Roman" w:hAnsi="Times New Roman" w:cs="Times New Roman"/>
          </w:rPr>
          <w:t>https://doi.org/10.3758/s13428-022-01902-8</w:t>
        </w:r>
      </w:hyperlink>
    </w:p>
    <w:p w:rsidR="009B7F37" w:rsidRPr="00E947C7" w:rsidRDefault="00000000" w:rsidP="00E947C7">
      <w:pPr>
        <w:pStyle w:val="Bibliography"/>
        <w:spacing w:line="360" w:lineRule="auto"/>
        <w:jc w:val="both"/>
        <w:rPr>
          <w:rFonts w:ascii="Times New Roman" w:hAnsi="Times New Roman" w:cs="Times New Roman"/>
        </w:rPr>
      </w:pPr>
      <w:bookmarkStart w:id="21" w:name="ref-brysbaert_guidelines"/>
      <w:bookmarkEnd w:id="20"/>
      <w:r w:rsidRPr="00E947C7">
        <w:rPr>
          <w:rFonts w:ascii="Times New Roman" w:hAnsi="Times New Roman" w:cs="Times New Roman"/>
        </w:rPr>
        <w:t xml:space="preserve">6. Brysbaert M. How many participants do we have to include in properly powered experiments? A tutorial of power analysis with reference tables. Journal of Cognition. 2019;2. </w:t>
      </w:r>
      <w:hyperlink r:id="rId17">
        <w:r w:rsidRPr="00E947C7">
          <w:rPr>
            <w:rStyle w:val="Hyperlink"/>
            <w:rFonts w:ascii="Times New Roman" w:hAnsi="Times New Roman" w:cs="Times New Roman"/>
          </w:rPr>
          <w:t>https://doi.org/10.5334/joc.72</w:t>
        </w:r>
      </w:hyperlink>
      <w:bookmarkEnd w:id="10"/>
      <w:bookmarkEnd w:id="16"/>
      <w:bookmarkEnd w:id="21"/>
    </w:p>
    <w:sectPr w:rsidR="009B7F37" w:rsidRPr="00E947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108F" w:rsidRDefault="00CE108F">
      <w:pPr>
        <w:spacing w:after="0"/>
      </w:pPr>
      <w:r>
        <w:separator/>
      </w:r>
    </w:p>
  </w:endnote>
  <w:endnote w:type="continuationSeparator" w:id="0">
    <w:p w:rsidR="00CE108F" w:rsidRDefault="00CE10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108F" w:rsidRDefault="00CE108F">
      <w:pPr>
        <w:spacing w:after="0"/>
      </w:pPr>
      <w:r>
        <w:separator/>
      </w:r>
    </w:p>
  </w:footnote>
  <w:footnote w:type="continuationSeparator" w:id="0">
    <w:p w:rsidR="00CE108F" w:rsidRDefault="00CE108F">
      <w:pPr>
        <w:spacing w:after="0"/>
      </w:pPr>
      <w:r>
        <w:continuationSeparator/>
      </w:r>
    </w:p>
  </w:footnote>
  <w:footnote w:id="1">
    <w:p w:rsidR="009B7F37" w:rsidRDefault="00000000">
      <w:pPr>
        <w:pStyle w:val="FootnoteText"/>
      </w:pPr>
      <w:r>
        <w:rPr>
          <w:rStyle w:val="FootnoteReference"/>
        </w:rPr>
        <w:footnoteRef/>
      </w:r>
      <w:r>
        <w:t xml:space="preserve"> “The sample size was estimated using a power analysis software G*Power (version 3.1.9.2; Bonn University, Bonn, Germany) based on the mean effect (</w:t>
      </w:r>
      <w:r>
        <w:rPr>
          <w:i/>
          <w:iCs/>
        </w:rPr>
        <w:t>d</w:t>
      </w:r>
      <w:r>
        <w:t xml:space="preserve"> = 3.18) of the within-condition decrement to peak and mean power output during repeated 30-s Wingate efforts.</w:t>
      </w:r>
      <w:r>
        <w:rPr>
          <w:vertAlign w:val="superscript"/>
        </w:rPr>
        <w:t>10</w:t>
      </w:r>
      <w:r>
        <w:t xml:space="preserve"> The power analysis resulted in a calculated total sample size of 4 participants.”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AACF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328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7F37"/>
    <w:rsid w:val="002747FC"/>
    <w:rsid w:val="00296F4B"/>
    <w:rsid w:val="00963286"/>
    <w:rsid w:val="009B7F37"/>
    <w:rsid w:val="00C165A9"/>
    <w:rsid w:val="00CE108F"/>
    <w:rsid w:val="00E94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1851C"/>
  <w15:docId w15:val="{58C10A1C-4F8C-3D43-B304-D54F1062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296F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ghir.2015.03.00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23/ijspp.2019-0933" TargetMode="External"/><Relationship Id="rId17" Type="http://schemas.openxmlformats.org/officeDocument/2006/relationships/hyperlink" Target="https://doi.org/10.5334/joc.72" TargetMode="External"/><Relationship Id="rId2" Type="http://schemas.openxmlformats.org/officeDocument/2006/relationships/styles" Target="styles.xml"/><Relationship Id="rId16" Type="http://schemas.openxmlformats.org/officeDocument/2006/relationships/hyperlink" Target="https://doi.org/10.3758/s13428-022-0190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77/25152459231178728"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89/fpsyg.2013.008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dc:title>
  <dc:creator/>
  <cp:keywords/>
  <cp:lastModifiedBy>Microsoft Office User</cp:lastModifiedBy>
  <cp:revision>5</cp:revision>
  <dcterms:created xsi:type="dcterms:W3CDTF">2026-01-31T15:14:00Z</dcterms:created>
  <dcterms:modified xsi:type="dcterms:W3CDTF">2026-02-02T09:25:00Z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sports-medicine.csl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