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出海合规雷达——产品扩大规划与 AI 开发实施方案</w:t>
      </w:r>
    </w:p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t>日期：2026 年 10 月 22 日</w:t>
      </w:r>
    </w:p>
    <w:p>
      <w:pPr>
        <w:jc w:val="center"/>
      </w:pPr>
      <w:r>
        <w:t>项目仓库：cristiano138/Chinese-Enterprises-Going-Global-Radar</w:t>
      </w:r>
    </w:p>
    <w:p>
      <w:pPr>
        <w:jc w:val="center"/>
      </w:pPr>
      <w:r>
        <w:t>面向对象：产品、合规、运营、研发与 AI Coding Agent 团队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项目定位升级</w:t>
      </w:r>
    </w:p>
    <w:p>
      <w:r>
        <w:t>2. 产品目标与核心价值</w:t>
      </w:r>
    </w:p>
    <w:p>
      <w:r>
        <w:t>3. 目标用户和典型场景</w:t>
      </w:r>
    </w:p>
    <w:p>
      <w:r>
        <w:t>4. 完整案例“我要卖玩具到欧盟”</w:t>
      </w:r>
    </w:p>
    <w:p>
      <w:r>
        <w:t>5. 功能规划（M1-M17）</w:t>
      </w:r>
    </w:p>
    <w:p>
      <w:r>
        <w:t>6. AI 主动追问设计</w:t>
      </w:r>
    </w:p>
    <w:p>
      <w:r>
        <w:t>7. 法规审查体系</w:t>
      </w:r>
    </w:p>
    <w:p>
      <w:r>
        <w:t>8. 关税、税费与成本测算</w:t>
      </w:r>
    </w:p>
    <w:p>
      <w:r>
        <w:t>9. 利润最大化模块</w:t>
      </w:r>
    </w:p>
    <w:p>
      <w:r>
        <w:t>10. 平台上架与履约规划</w:t>
      </w:r>
    </w:p>
    <w:p>
      <w:r>
        <w:t>11. 产品画像与规则引擎</w:t>
      </w:r>
    </w:p>
    <w:p>
      <w:r>
        <w:t>12. 任务、证据与合规闭环</w:t>
      </w:r>
    </w:p>
    <w:p>
      <w:r>
        <w:t>13. 系统架构与 AI 分工</w:t>
      </w:r>
    </w:p>
    <w:p>
      <w:r>
        <w:t>14. 数据模型</w:t>
      </w:r>
    </w:p>
    <w:p>
      <w:r>
        <w:t>15. 对现有仓库的扩展方案</w:t>
      </w:r>
    </w:p>
    <w:p>
      <w:r>
        <w:t>16. 版本路线图</w:t>
      </w:r>
    </w:p>
    <w:p>
      <w:r>
        <w:t>17. 可直接交给 AI Coding Agent 的开工任务框架</w:t>
      </w:r>
    </w:p>
    <w:p>
      <w:r>
        <w:t>18. 第一阶段验收标准</w:t>
      </w:r>
    </w:p>
    <w:p>
      <w:r>
        <w:t>19. 商业化方向</w:t>
      </w:r>
    </w:p>
    <w:p>
      <w:r>
        <w:t>20. 总结</w:t>
      </w:r>
    </w:p>
    <w:p>
      <w:r>
        <w:t>21. 免责声明</w:t>
      </w:r>
    </w:p>
    <w:p>
      <w:r>
        <w:br w:type="page"/>
      </w:r>
    </w:p>
    <w:p>
      <w:pPr>
        <w:pStyle w:val="Heading1"/>
      </w:pPr>
      <w:r>
        <w:t>1. 项目定位升级</w:t>
      </w:r>
    </w:p>
    <w:p>
      <w:r>
        <w:t>本项目由“法规查询工具”升级为“面向中国商家的出海经营决策与合规执行助手”。新定位强调从信息检索转向经营结果导向，围绕市场、法规、平台、履约、利润进行一体化编排。</w:t>
      </w:r>
    </w:p>
    <w:p>
      <w:r>
        <w:t>产品口号：让每一次出海决策都有证据，让每一步合规执行都可落地。</w:t>
      </w:r>
    </w:p>
    <w:p>
      <w:r>
        <w:t>核心价值：把“看得懂法规”升级为“能做出可执行、可复核、可追踪的经营动作”。</w:t>
      </w:r>
    </w:p>
    <w:p>
      <w:pPr>
        <w:pStyle w:val="Heading1"/>
      </w:pPr>
      <w:r>
        <w:t>2. 产品目标与核心价值</w:t>
      </w:r>
    </w:p>
    <w:p>
      <w:r>
        <w:t>产品目标分为四层价值：市场选择、合规判断、经营测算、执行落地。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价值层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市场选择</w:t>
            </w:r>
          </w:p>
        </w:tc>
        <w:tc>
          <w:tcPr>
            <w:tcW w:type="dxa" w:w="2880"/>
          </w:tcPr>
          <w:p>
            <w:r>
              <w:t>识别优先国家与渠道</w:t>
            </w:r>
          </w:p>
        </w:tc>
        <w:tc>
          <w:tcPr>
            <w:tcW w:type="dxa" w:w="2880"/>
          </w:tcPr>
          <w:p>
            <w:r>
              <w:t>市场优先级清单、进入顺序建议</w:t>
            </w:r>
          </w:p>
        </w:tc>
      </w:tr>
      <w:tr>
        <w:tc>
          <w:tcPr>
            <w:tcW w:type="dxa" w:w="2880"/>
          </w:tcPr>
          <w:p>
            <w:r>
              <w:t>合规判断</w:t>
            </w:r>
          </w:p>
        </w:tc>
        <w:tc>
          <w:tcPr>
            <w:tcW w:type="dxa" w:w="2880"/>
          </w:tcPr>
          <w:p>
            <w:r>
              <w:t>识别必须满足的法规与平台要求</w:t>
            </w:r>
          </w:p>
        </w:tc>
        <w:tc>
          <w:tcPr>
            <w:tcW w:type="dxa" w:w="2880"/>
          </w:tcPr>
          <w:p>
            <w:r>
              <w:t>适用性结论、缺口清单、风险等级</w:t>
            </w:r>
          </w:p>
        </w:tc>
      </w:tr>
      <w:tr>
        <w:tc>
          <w:tcPr>
            <w:tcW w:type="dxa" w:w="2880"/>
          </w:tcPr>
          <w:p>
            <w:r>
              <w:t>经营测算</w:t>
            </w:r>
          </w:p>
        </w:tc>
        <w:tc>
          <w:tcPr>
            <w:tcW w:type="dxa" w:w="2880"/>
          </w:tcPr>
          <w:p>
            <w:r>
              <w:t>比较成本、税费和利润</w:t>
            </w:r>
          </w:p>
        </w:tc>
        <w:tc>
          <w:tcPr>
            <w:tcW w:type="dxa" w:w="2880"/>
          </w:tcPr>
          <w:p>
            <w:r>
              <w:t>单位经济模型、利润区间、敏感性分析</w:t>
            </w:r>
          </w:p>
        </w:tc>
      </w:tr>
      <w:tr>
        <w:tc>
          <w:tcPr>
            <w:tcW w:type="dxa" w:w="2880"/>
          </w:tcPr>
          <w:p>
            <w:r>
              <w:t>执行落地</w:t>
            </w:r>
          </w:p>
        </w:tc>
        <w:tc>
          <w:tcPr>
            <w:tcW w:type="dxa" w:w="2880"/>
          </w:tcPr>
          <w:p>
            <w:r>
              <w:t>将要求转化为任务与证据</w:t>
            </w:r>
          </w:p>
        </w:tc>
        <w:tc>
          <w:tcPr>
            <w:tcW w:type="dxa" w:w="2880"/>
          </w:tcPr>
          <w:p>
            <w:r>
              <w:t>任务看板、证据中心、复核记录</w:t>
            </w:r>
          </w:p>
        </w:tc>
      </w:tr>
    </w:tbl>
    <w:p>
      <w:pPr>
        <w:pStyle w:val="Heading1"/>
      </w:pPr>
      <w:r>
        <w:t>3. 目标用户和典型场景</w:t>
      </w:r>
    </w:p>
    <w:p>
      <w:pPr>
        <w:pStyle w:val="Heading2"/>
      </w:pPr>
      <w:r>
        <w:t>3.1 新手卖家</w:t>
      </w:r>
    </w:p>
    <w:p>
      <w:r>
        <w:t>尚未形成出口流程，关注“是否能卖、从哪卖、先做什么”。系统应提供最小必备路径和强制字段追问。</w:t>
      </w:r>
    </w:p>
    <w:p>
      <w:pPr>
        <w:pStyle w:val="Heading2"/>
      </w:pPr>
      <w:r>
        <w:t>3.2 已有产品但缺资料的卖家</w:t>
      </w:r>
    </w:p>
    <w:p>
      <w:r>
        <w:t>已有SKU与供应链，但合规资料缺失。系统应识别资料缺口并给出“先补资料再判断”的流程。</w:t>
      </w:r>
    </w:p>
    <w:p>
      <w:pPr>
        <w:pStyle w:val="Heading2"/>
      </w:pPr>
      <w:r>
        <w:t>3.3 已销售品牌商</w:t>
      </w:r>
    </w:p>
    <w:p>
      <w:r>
        <w:t>已在部分市场经营，关注法规变更影响与多市场扩展效率。系统需支持变更监控和影响分析。</w:t>
      </w:r>
    </w:p>
    <w:p>
      <w:pPr>
        <w:pStyle w:val="Heading2"/>
      </w:pPr>
      <w:r>
        <w:t>3.4 需要比较市场的企业</w:t>
      </w:r>
    </w:p>
    <w:p>
      <w:r>
        <w:t>同一产品比较欧盟、英国、美国、中东等市场，关注准入难度、费用结构与利润弹性。</w:t>
      </w:r>
    </w:p>
    <w:p>
      <w:pPr>
        <w:pStyle w:val="Heading1"/>
      </w:pPr>
      <w:r>
        <w:t>4. 完整案例：“我要卖玩具到欧盟”</w:t>
      </w:r>
    </w:p>
    <w:p>
      <w:r>
        <w:t>案例目标：在关键信息完整前，不输出确定性结论；在信息完整后输出法规、平台、履约、利润和下一步计划。</w:t>
      </w:r>
    </w:p>
    <w:p>
      <w:pPr>
        <w:pStyle w:val="Heading2"/>
      </w:pPr>
      <w:r>
        <w:t>4.1 用户初始输入</w:t>
      </w:r>
    </w:p>
    <w:p>
      <w:r>
        <w:t>用户：我要卖玩具到欧盟。</w:t>
      </w:r>
    </w:p>
    <w:p>
      <w:pPr>
        <w:pStyle w:val="Heading2"/>
      </w:pPr>
      <w:r>
        <w:t>4.2 AI 主动追问（至少三轮）</w:t>
      </w:r>
    </w:p>
    <w:p>
      <w:pPr>
        <w:pStyle w:val="ListBullet"/>
      </w:pPr>
      <w:r>
        <w:t>第 1 轮：请确认产品类别（毛绒/塑料/木制/电子）、目标年龄段、是否带电或电池。</w:t>
      </w:r>
    </w:p>
    <w:p>
      <w:pPr>
        <w:pStyle w:val="ListBullet"/>
      </w:pPr>
      <w:r>
        <w:t>第 2 轮：请确认目标国家与平台（例如德国 Amazon.de）、发货方式（FBA/FBM）、是否已有 CE 相关资料。</w:t>
      </w:r>
    </w:p>
    <w:p>
      <w:pPr>
        <w:pStyle w:val="ListBullet"/>
      </w:pPr>
      <w:r>
        <w:t>第 3 轮：请补充材质、尺寸重量、申报价值、预计售价、包装语言、警示语和检测报告现状。</w:t>
      </w:r>
    </w:p>
    <w:p>
      <w:r>
        <w:t>若关键字段缺失（年龄段、是否带电、材质、目标市场、平台），系统必须返回“无法形成确定结论”，仅输出待补字段和原因。</w:t>
      </w:r>
    </w:p>
    <w:p>
      <w:pPr>
        <w:pStyle w:val="Heading2"/>
      </w:pPr>
      <w:r>
        <w:t>4.3 结构化产品画像 JSON（示例）</w:t>
      </w:r>
    </w:p>
    <w:p>
      <w:r>
        <w:rPr>
          <w:rFonts w:ascii="Consolas" w:hAnsi="Consolas" w:eastAsia="等线"/>
          <w:sz w:val="20"/>
        </w:rPr>
        <w:t>{</w:t>
      </w:r>
      <w:r>
        <w:rPr>
          <w:rFonts w:ascii="Consolas" w:hAnsi="Consolas" w:eastAsia="等线"/>
          <w:sz w:val="20"/>
        </w:rPr>
        <w:br/>
        <w:t xml:space="preserve">  "product_name": "毛绒玩具熊",</w:t>
      </w:r>
      <w:r>
        <w:rPr>
          <w:rFonts w:ascii="Consolas" w:hAnsi="Consolas" w:eastAsia="等线"/>
          <w:sz w:val="20"/>
        </w:rPr>
        <w:br/>
        <w:t xml:space="preserve">  "category": "toys.plush",</w:t>
      </w:r>
      <w:r>
        <w:rPr>
          <w:rFonts w:ascii="Consolas" w:hAnsi="Consolas" w:eastAsia="等线"/>
          <w:sz w:val="20"/>
        </w:rPr>
        <w:br/>
        <w:t xml:space="preserve">  "target_age": "3+",</w:t>
      </w:r>
      <w:r>
        <w:rPr>
          <w:rFonts w:ascii="Consolas" w:hAnsi="Consolas" w:eastAsia="等线"/>
          <w:sz w:val="20"/>
        </w:rPr>
        <w:br/>
        <w:t xml:space="preserve">  "electrical": false,</w:t>
      </w:r>
      <w:r>
        <w:rPr>
          <w:rFonts w:ascii="Consolas" w:hAnsi="Consolas" w:eastAsia="等线"/>
          <w:sz w:val="20"/>
        </w:rPr>
        <w:br/>
        <w:t xml:space="preserve">  "battery_included": false,</w:t>
      </w:r>
      <w:r>
        <w:rPr>
          <w:rFonts w:ascii="Consolas" w:hAnsi="Consolas" w:eastAsia="等线"/>
          <w:sz w:val="20"/>
        </w:rPr>
        <w:br/>
        <w:t xml:space="preserve">  "materials": ["聚酯纤维", "PP棉"],</w:t>
      </w:r>
      <w:r>
        <w:rPr>
          <w:rFonts w:ascii="Consolas" w:hAnsi="Consolas" w:eastAsia="等线"/>
          <w:sz w:val="20"/>
        </w:rPr>
        <w:br/>
        <w:t xml:space="preserve">  "market": "EU-DE",</w:t>
      </w:r>
      <w:r>
        <w:rPr>
          <w:rFonts w:ascii="Consolas" w:hAnsi="Consolas" w:eastAsia="等线"/>
          <w:sz w:val="20"/>
        </w:rPr>
        <w:br/>
        <w:t xml:space="preserve">  "platform": "Amazon.de",</w:t>
      </w:r>
      <w:r>
        <w:rPr>
          <w:rFonts w:ascii="Consolas" w:hAnsi="Consolas" w:eastAsia="等线"/>
          <w:sz w:val="20"/>
        </w:rPr>
        <w:br/>
        <w:t xml:space="preserve">  "fulfillment": "FBA",</w:t>
      </w:r>
      <w:r>
        <w:rPr>
          <w:rFonts w:ascii="Consolas" w:hAnsi="Consolas" w:eastAsia="等线"/>
          <w:sz w:val="20"/>
        </w:rPr>
        <w:br/>
        <w:t xml:space="preserve">  "price_eur": 24.99,</w:t>
      </w:r>
      <w:r>
        <w:rPr>
          <w:rFonts w:ascii="Consolas" w:hAnsi="Consolas" w:eastAsia="等线"/>
          <w:sz w:val="20"/>
        </w:rPr>
        <w:br/>
        <w:t xml:space="preserve">  "weight_kg": 0.42,</w:t>
      </w:r>
      <w:r>
        <w:rPr>
          <w:rFonts w:ascii="Consolas" w:hAnsi="Consolas" w:eastAsia="等线"/>
          <w:sz w:val="20"/>
        </w:rPr>
        <w:br/>
        <w:t xml:space="preserve">  "packaging_languages": ["de", "en"],</w:t>
      </w:r>
      <w:r>
        <w:rPr>
          <w:rFonts w:ascii="Consolas" w:hAnsi="Consolas" w:eastAsia="等线"/>
          <w:sz w:val="20"/>
        </w:rPr>
        <w:br/>
        <w:t xml:space="preserve">  "documents": {</w:t>
      </w:r>
      <w:r>
        <w:rPr>
          <w:rFonts w:ascii="Consolas" w:hAnsi="Consolas" w:eastAsia="等线"/>
          <w:sz w:val="20"/>
        </w:rPr>
        <w:br/>
        <w:t xml:space="preserve">    "test_report": false,</w:t>
      </w:r>
      <w:r>
        <w:rPr>
          <w:rFonts w:ascii="Consolas" w:hAnsi="Consolas" w:eastAsia="等线"/>
          <w:sz w:val="20"/>
        </w:rPr>
        <w:br/>
        <w:t xml:space="preserve">    "declaration_of_conformity": false,</w:t>
      </w:r>
      <w:r>
        <w:rPr>
          <w:rFonts w:ascii="Consolas" w:hAnsi="Consolas" w:eastAsia="等线"/>
          <w:sz w:val="20"/>
        </w:rPr>
        <w:br/>
        <w:t xml:space="preserve">    "label_artwork": true</w:t>
      </w:r>
      <w:r>
        <w:rPr>
          <w:rFonts w:ascii="Consolas" w:hAnsi="Consolas" w:eastAsia="等线"/>
          <w:sz w:val="20"/>
        </w:rPr>
        <w:br/>
        <w:t xml:space="preserve">  }</w:t>
      </w:r>
      <w:r>
        <w:rPr>
          <w:rFonts w:ascii="Consolas" w:hAnsi="Consolas" w:eastAsia="等线"/>
          <w:sz w:val="20"/>
        </w:rPr>
        <w:br/>
        <w:t>}</w:t>
      </w:r>
    </w:p>
    <w:p>
      <w:pPr>
        <w:pStyle w:val="Heading2"/>
      </w:pPr>
      <w:r>
        <w:t>4.4 结果输出（法规/平台/履约/利润）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关键结论</w:t>
            </w:r>
          </w:p>
        </w:tc>
        <w:tc>
          <w:tcPr>
            <w:tcW w:type="dxa" w:w="2160"/>
          </w:tcPr>
          <w:p>
            <w:r>
              <w:t>下一步</w:t>
            </w:r>
          </w:p>
        </w:tc>
      </w:tr>
      <w:tr>
        <w:tc>
          <w:tcPr>
            <w:tcW w:type="dxa" w:w="2160"/>
          </w:tcPr>
          <w:p>
            <w:r>
              <w:t>法规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需按 EN 71 系列完成检测并形成 DoC</w:t>
            </w:r>
          </w:p>
        </w:tc>
        <w:tc>
          <w:tcPr>
            <w:tcW w:type="dxa" w:w="2160"/>
          </w:tcPr>
          <w:p>
            <w:r>
              <w:t>创建检测任务并补齐技术文档</w:t>
            </w:r>
          </w:p>
        </w:tc>
      </w:tr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待完善</w:t>
            </w:r>
          </w:p>
        </w:tc>
        <w:tc>
          <w:tcPr>
            <w:tcW w:type="dxa" w:w="2160"/>
          </w:tcPr>
          <w:p>
            <w:r>
              <w:t>Amazon.de 玩具类目要求 CE/警示语/合规文件</w:t>
            </w:r>
          </w:p>
        </w:tc>
        <w:tc>
          <w:tcPr>
            <w:tcW w:type="dxa" w:w="2160"/>
          </w:tcPr>
          <w:p>
            <w:r>
              <w:t>准备上架合规资料包</w:t>
            </w:r>
          </w:p>
        </w:tc>
      </w:tr>
      <w:tr>
        <w:tc>
          <w:tcPr>
            <w:tcW w:type="dxa" w:w="2160"/>
          </w:tcPr>
          <w:p>
            <w:r>
              <w:t>履约</w:t>
            </w:r>
          </w:p>
        </w:tc>
        <w:tc>
          <w:tcPr>
            <w:tcW w:type="dxa" w:w="2160"/>
          </w:tcPr>
          <w:p>
            <w:r>
              <w:t>可执行</w:t>
            </w:r>
          </w:p>
        </w:tc>
        <w:tc>
          <w:tcPr>
            <w:tcW w:type="dxa" w:w="2160"/>
          </w:tcPr>
          <w:p>
            <w:r>
              <w:t>FBA 可行，但需校验标签与外箱规范</w:t>
            </w:r>
          </w:p>
        </w:tc>
        <w:tc>
          <w:tcPr>
            <w:tcW w:type="dxa" w:w="2160"/>
          </w:tcPr>
          <w:p>
            <w:r>
              <w:t>输出 FBA 包装与贴标清单</w:t>
            </w:r>
          </w:p>
        </w:tc>
      </w:tr>
      <w:tr>
        <w:tc>
          <w:tcPr>
            <w:tcW w:type="dxa" w:w="2160"/>
          </w:tcPr>
          <w:p>
            <w:r>
              <w:t>利润</w:t>
            </w:r>
          </w:p>
        </w:tc>
        <w:tc>
          <w:tcPr>
            <w:tcW w:type="dxa" w:w="2160"/>
          </w:tcPr>
          <w:p>
            <w:r>
              <w:t>可测算</w:t>
            </w:r>
          </w:p>
        </w:tc>
        <w:tc>
          <w:tcPr>
            <w:tcW w:type="dxa" w:w="2160"/>
          </w:tcPr>
          <w:p>
            <w:r>
              <w:t>当前毛利可行，税费与退货敏感</w:t>
            </w:r>
          </w:p>
        </w:tc>
        <w:tc>
          <w:tcPr>
            <w:tcW w:type="dxa" w:w="2160"/>
          </w:tcPr>
          <w:p>
            <w:r>
              <w:t>运行三策略利润对比</w:t>
            </w:r>
          </w:p>
        </w:tc>
      </w:tr>
    </w:tbl>
    <w:p>
      <w:pPr>
        <w:pStyle w:val="Heading2"/>
      </w:pPr>
      <w:r>
        <w:t>4.5 下一步建议</w:t>
      </w:r>
    </w:p>
    <w:p>
      <w:pPr>
        <w:pStyle w:val="ListBullet"/>
      </w:pPr>
      <w:r>
        <w:t>48 小时内补齐检测报告路径与机构选择。</w:t>
      </w:r>
    </w:p>
    <w:p>
      <w:pPr>
        <w:pStyle w:val="ListBullet"/>
      </w:pPr>
      <w:r>
        <w:t>完成 Amazon 德国站上架资料校验。</w:t>
      </w:r>
    </w:p>
    <w:p>
      <w:pPr>
        <w:pStyle w:val="ListBullet"/>
      </w:pPr>
      <w:r>
        <w:t>提交成本敏感性分析并选择试销策略。</w:t>
      </w:r>
    </w:p>
    <w:p>
      <w:pPr>
        <w:pStyle w:val="Heading1"/>
      </w:pPr>
      <w:r>
        <w:t>5. 功能规划（保留 M1-M7，新增 M8-M17）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定位</w:t>
            </w:r>
          </w:p>
        </w:tc>
        <w:tc>
          <w:tcPr>
            <w:tcW w:type="dxa" w:w="2880"/>
          </w:tcPr>
          <w:p>
            <w:r>
              <w:t>核心产出</w:t>
            </w:r>
          </w:p>
        </w:tc>
      </w:tr>
      <w:tr>
        <w:tc>
          <w:tcPr>
            <w:tcW w:type="dxa" w:w="2880"/>
          </w:tcPr>
          <w:p>
            <w:r>
              <w:t>M1-M7</w:t>
            </w:r>
          </w:p>
        </w:tc>
        <w:tc>
          <w:tcPr>
            <w:tcW w:type="dxa" w:w="2880"/>
          </w:tcPr>
          <w:p>
            <w:r>
              <w:t>保留现有能力</w:t>
            </w:r>
          </w:p>
        </w:tc>
        <w:tc>
          <w:tcPr>
            <w:tcW w:type="dxa" w:w="2880"/>
          </w:tcPr>
          <w:p>
            <w:r>
              <w:t>法规检索、问答、来源与时效基础能力</w:t>
            </w:r>
          </w:p>
        </w:tc>
      </w:tr>
      <w:tr>
        <w:tc>
          <w:tcPr>
            <w:tcW w:type="dxa" w:w="2880"/>
          </w:tcPr>
          <w:p>
            <w:r>
              <w:t>M8 产品画像</w:t>
            </w:r>
          </w:p>
        </w:tc>
        <w:tc>
          <w:tcPr>
            <w:tcW w:type="dxa" w:w="2880"/>
          </w:tcPr>
          <w:p>
            <w:r>
              <w:t>统一输入语义</w:t>
            </w:r>
          </w:p>
        </w:tc>
        <w:tc>
          <w:tcPr>
            <w:tcW w:type="dxa" w:w="2880"/>
          </w:tcPr>
          <w:p>
            <w:r>
              <w:t>结构化画像 JSON</w:t>
            </w:r>
          </w:p>
        </w:tc>
      </w:tr>
      <w:tr>
        <w:tc>
          <w:tcPr>
            <w:tcW w:type="dxa" w:w="2880"/>
          </w:tcPr>
          <w:p>
            <w:r>
              <w:t>M9 主动追问</w:t>
            </w:r>
          </w:p>
        </w:tc>
        <w:tc>
          <w:tcPr>
            <w:tcW w:type="dxa" w:w="2880"/>
          </w:tcPr>
          <w:p>
            <w:r>
              <w:t>补齐关键字段</w:t>
            </w:r>
          </w:p>
        </w:tc>
        <w:tc>
          <w:tcPr>
            <w:tcW w:type="dxa" w:w="2880"/>
          </w:tcPr>
          <w:p>
            <w:r>
              <w:t>追问树与完成状态</w:t>
            </w:r>
          </w:p>
        </w:tc>
      </w:tr>
      <w:tr>
        <w:tc>
          <w:tcPr>
            <w:tcW w:type="dxa" w:w="2880"/>
          </w:tcPr>
          <w:p>
            <w:r>
              <w:t>M10 市场选择</w:t>
            </w:r>
          </w:p>
        </w:tc>
        <w:tc>
          <w:tcPr>
            <w:tcW w:type="dxa" w:w="2880"/>
          </w:tcPr>
          <w:p>
            <w:r>
              <w:t>多市场比较</w:t>
            </w:r>
          </w:p>
        </w:tc>
        <w:tc>
          <w:tcPr>
            <w:tcW w:type="dxa" w:w="2880"/>
          </w:tcPr>
          <w:p>
            <w:r>
              <w:t>市场优先级及原因</w:t>
            </w:r>
          </w:p>
        </w:tc>
      </w:tr>
      <w:tr>
        <w:tc>
          <w:tcPr>
            <w:tcW w:type="dxa" w:w="2880"/>
          </w:tcPr>
          <w:p>
            <w:r>
              <w:t>M11 平台准入</w:t>
            </w:r>
          </w:p>
        </w:tc>
        <w:tc>
          <w:tcPr>
            <w:tcW w:type="dxa" w:w="2880"/>
          </w:tcPr>
          <w:p>
            <w:r>
              <w:t>平台规则核验</w:t>
            </w:r>
          </w:p>
        </w:tc>
        <w:tc>
          <w:tcPr>
            <w:tcW w:type="dxa" w:w="2880"/>
          </w:tcPr>
          <w:p>
            <w:r>
              <w:t>平台准备度评分</w:t>
            </w:r>
          </w:p>
        </w:tc>
      </w:tr>
      <w:tr>
        <w:tc>
          <w:tcPr>
            <w:tcW w:type="dxa" w:w="2880"/>
          </w:tcPr>
          <w:p>
            <w:r>
              <w:t>M12 关税查询</w:t>
            </w:r>
          </w:p>
        </w:tc>
        <w:tc>
          <w:tcPr>
            <w:tcW w:type="dxa" w:w="2880"/>
          </w:tcPr>
          <w:p>
            <w:r>
              <w:t>关税与税费识别</w:t>
            </w:r>
          </w:p>
        </w:tc>
        <w:tc>
          <w:tcPr>
            <w:tcW w:type="dxa" w:w="2880"/>
          </w:tcPr>
          <w:p>
            <w:r>
              <w:t>税费区间与来源</w:t>
            </w:r>
          </w:p>
        </w:tc>
      </w:tr>
      <w:tr>
        <w:tc>
          <w:tcPr>
            <w:tcW w:type="dxa" w:w="2880"/>
          </w:tcPr>
          <w:p>
            <w:r>
              <w:t>M13 成本测算</w:t>
            </w:r>
          </w:p>
        </w:tc>
        <w:tc>
          <w:tcPr>
            <w:tcW w:type="dxa" w:w="2880"/>
          </w:tcPr>
          <w:p>
            <w:r>
              <w:t>单位经济测算</w:t>
            </w:r>
          </w:p>
        </w:tc>
        <w:tc>
          <w:tcPr>
            <w:tcW w:type="dxa" w:w="2880"/>
          </w:tcPr>
          <w:p>
            <w:r>
              <w:t>成本拆解与利润区间</w:t>
            </w:r>
          </w:p>
        </w:tc>
      </w:tr>
      <w:tr>
        <w:tc>
          <w:tcPr>
            <w:tcW w:type="dxa" w:w="2880"/>
          </w:tcPr>
          <w:p>
            <w:r>
              <w:t>M14 利润优化</w:t>
            </w:r>
          </w:p>
        </w:tc>
        <w:tc>
          <w:tcPr>
            <w:tcW w:type="dxa" w:w="2880"/>
          </w:tcPr>
          <w:p>
            <w:r>
              <w:t>策略求解</w:t>
            </w:r>
          </w:p>
        </w:tc>
        <w:tc>
          <w:tcPr>
            <w:tcW w:type="dxa" w:w="2880"/>
          </w:tcPr>
          <w:p>
            <w:r>
              <w:t>最优策略建议</w:t>
            </w:r>
          </w:p>
        </w:tc>
      </w:tr>
      <w:tr>
        <w:tc>
          <w:tcPr>
            <w:tcW w:type="dxa" w:w="2880"/>
          </w:tcPr>
          <w:p>
            <w:r>
              <w:t>M15 证据中心</w:t>
            </w:r>
          </w:p>
        </w:tc>
        <w:tc>
          <w:tcPr>
            <w:tcW w:type="dxa" w:w="2880"/>
          </w:tcPr>
          <w:p>
            <w:r>
              <w:t>资料归集</w:t>
            </w:r>
          </w:p>
        </w:tc>
        <w:tc>
          <w:tcPr>
            <w:tcW w:type="dxa" w:w="2880"/>
          </w:tcPr>
          <w:p>
            <w:r>
              <w:t>证据目录与可追溯链路</w:t>
            </w:r>
          </w:p>
        </w:tc>
      </w:tr>
      <w:tr>
        <w:tc>
          <w:tcPr>
            <w:tcW w:type="dxa" w:w="2880"/>
          </w:tcPr>
          <w:p>
            <w:r>
              <w:t>M16 变更影响</w:t>
            </w:r>
          </w:p>
        </w:tc>
        <w:tc>
          <w:tcPr>
            <w:tcW w:type="dxa" w:w="2880"/>
          </w:tcPr>
          <w:p>
            <w:r>
              <w:t>持续监控</w:t>
            </w:r>
          </w:p>
        </w:tc>
        <w:tc>
          <w:tcPr>
            <w:tcW w:type="dxa" w:w="2880"/>
          </w:tcPr>
          <w:p>
            <w:r>
              <w:t>变更影响清单</w:t>
            </w:r>
          </w:p>
        </w:tc>
      </w:tr>
      <w:tr>
        <w:tc>
          <w:tcPr>
            <w:tcW w:type="dxa" w:w="2880"/>
          </w:tcPr>
          <w:p>
            <w:r>
              <w:t>M17 企业协作</w:t>
            </w:r>
          </w:p>
        </w:tc>
        <w:tc>
          <w:tcPr>
            <w:tcW w:type="dxa" w:w="2880"/>
          </w:tcPr>
          <w:p>
            <w:r>
              <w:t>多人流程闭环</w:t>
            </w:r>
          </w:p>
        </w:tc>
        <w:tc>
          <w:tcPr>
            <w:tcW w:type="dxa" w:w="2880"/>
          </w:tcPr>
          <w:p>
            <w:r>
              <w:t>任务分派、审批、复核</w:t>
            </w:r>
          </w:p>
        </w:tc>
      </w:tr>
    </w:tbl>
    <w:p>
      <w:pPr>
        <w:pStyle w:val="Heading1"/>
      </w:pPr>
      <w:r>
        <w:t>6. AI 主动追问设计</w:t>
      </w:r>
    </w:p>
    <w:p>
      <w:pPr>
        <w:pStyle w:val="Heading2"/>
      </w:pPr>
      <w:r>
        <w:t>6.1 追问原则</w:t>
      </w:r>
    </w:p>
    <w:p>
      <w:pPr>
        <w:pStyle w:val="ListBullet"/>
      </w:pPr>
      <w:r>
        <w:t>先关键后细节：先补会影响结论的字段。</w:t>
      </w:r>
    </w:p>
    <w:p>
      <w:pPr>
        <w:pStyle w:val="ListBullet"/>
      </w:pPr>
      <w:r>
        <w:t>不重复提问：已有字段直接复用。</w:t>
      </w:r>
    </w:p>
    <w:p>
      <w:pPr>
        <w:pStyle w:val="ListBullet"/>
      </w:pPr>
      <w:r>
        <w:t>显式解释：每个问题说明“为何必须”。</w:t>
      </w:r>
    </w:p>
    <w:p>
      <w:pPr>
        <w:pStyle w:val="ListBullet"/>
      </w:pPr>
      <w:r>
        <w:t>可中断可恢复：保存当前追问状态。</w:t>
      </w:r>
    </w:p>
    <w:p>
      <w:pPr>
        <w:pStyle w:val="Heading2"/>
      </w:pPr>
      <w:r>
        <w:t>6.2 问题优先级字段</w:t>
      </w:r>
    </w:p>
    <w:p>
      <w:r>
        <w:rPr>
          <w:rFonts w:ascii="Consolas" w:hAnsi="Consolas" w:eastAsia="等线"/>
          <w:sz w:val="20"/>
        </w:rPr>
        <w:t>P0: category, target_age, electrical, market, platform</w:t>
      </w:r>
      <w:r>
        <w:rPr>
          <w:rFonts w:ascii="Consolas" w:hAnsi="Consolas" w:eastAsia="等线"/>
          <w:sz w:val="20"/>
        </w:rPr>
        <w:br/>
        <w:t>P1: materials, battery_type, certification_status, fulfillment_mode</w:t>
      </w:r>
      <w:r>
        <w:rPr>
          <w:rFonts w:ascii="Consolas" w:hAnsi="Consolas" w:eastAsia="等线"/>
          <w:sz w:val="20"/>
        </w:rPr>
        <w:br/>
        <w:t>P2: dimensions, expected_price, return_rate_assumption</w:t>
      </w:r>
    </w:p>
    <w:p>
      <w:pPr>
        <w:pStyle w:val="Heading2"/>
      </w:pPr>
      <w:r>
        <w:t>6.3 问题数据结构</w:t>
      </w:r>
    </w:p>
    <w:p>
      <w:r>
        <w:rPr>
          <w:rFonts w:ascii="Consolas" w:hAnsi="Consolas" w:eastAsia="等线"/>
          <w:sz w:val="20"/>
        </w:rPr>
        <w:t>{</w:t>
      </w:r>
      <w:r>
        <w:rPr>
          <w:rFonts w:ascii="Consolas" w:hAnsi="Consolas" w:eastAsia="等线"/>
          <w:sz w:val="20"/>
        </w:rPr>
        <w:br/>
        <w:t xml:space="preserve">  "question_id": "q_target_age",</w:t>
      </w:r>
      <w:r>
        <w:rPr>
          <w:rFonts w:ascii="Consolas" w:hAnsi="Consolas" w:eastAsia="等线"/>
          <w:sz w:val="20"/>
        </w:rPr>
        <w:br/>
        <w:t xml:space="preserve">  "priority": "P0",</w:t>
      </w:r>
      <w:r>
        <w:rPr>
          <w:rFonts w:ascii="Consolas" w:hAnsi="Consolas" w:eastAsia="等线"/>
          <w:sz w:val="20"/>
        </w:rPr>
        <w:br/>
        <w:t xml:space="preserve">  "field": "target_age",</w:t>
      </w:r>
      <w:r>
        <w:rPr>
          <w:rFonts w:ascii="Consolas" w:hAnsi="Consolas" w:eastAsia="等线"/>
          <w:sz w:val="20"/>
        </w:rPr>
        <w:br/>
        <w:t xml:space="preserve">  "reason": "影响玩具法规路径与标签要求",</w:t>
      </w:r>
      <w:r>
        <w:rPr>
          <w:rFonts w:ascii="Consolas" w:hAnsi="Consolas" w:eastAsia="等线"/>
          <w:sz w:val="20"/>
        </w:rPr>
        <w:br/>
        <w:t xml:space="preserve">  "expected_type": "enum",</w:t>
      </w:r>
      <w:r>
        <w:rPr>
          <w:rFonts w:ascii="Consolas" w:hAnsi="Consolas" w:eastAsia="等线"/>
          <w:sz w:val="20"/>
        </w:rPr>
        <w:br/>
        <w:t xml:space="preserve">  "options": ["0-3", "3+", "6+", "14+"],</w:t>
      </w:r>
      <w:r>
        <w:rPr>
          <w:rFonts w:ascii="Consolas" w:hAnsi="Consolas" w:eastAsia="等线"/>
          <w:sz w:val="20"/>
        </w:rPr>
        <w:br/>
        <w:t xml:space="preserve">  "blocking": true</w:t>
      </w:r>
      <w:r>
        <w:rPr>
          <w:rFonts w:ascii="Consolas" w:hAnsi="Consolas" w:eastAsia="等线"/>
          <w:sz w:val="20"/>
        </w:rPr>
        <w:br/>
        <w:t>}</w:t>
      </w:r>
    </w:p>
    <w:p>
      <w:pPr>
        <w:pStyle w:val="Heading2"/>
      </w:pPr>
      <w:r>
        <w:t>6.4 不同目标完成条件</w:t>
      </w:r>
    </w:p>
    <w:p>
      <w:pPr>
        <w:pStyle w:val="ListBullet"/>
      </w:pPr>
      <w:r>
        <w:t>法规判断目标：所有 P0 字段齐全。</w:t>
      </w:r>
    </w:p>
    <w:p>
      <w:pPr>
        <w:pStyle w:val="ListBullet"/>
      </w:pPr>
      <w:r>
        <w:t>成本测算目标：P0+售价+重量+履约方式齐全。</w:t>
      </w:r>
    </w:p>
    <w:p>
      <w:pPr>
        <w:pStyle w:val="ListBullet"/>
      </w:pPr>
      <w:r>
        <w:t>上架准备目标：P0+平台资料字段齐全。</w:t>
      </w:r>
    </w:p>
    <w:p>
      <w:pPr>
        <w:pStyle w:val="Heading1"/>
      </w:pPr>
      <w:r>
        <w:t>7. 法规审查体系</w:t>
      </w:r>
    </w:p>
    <w:p>
      <w:r>
        <w:t>采用四层审查：直接适用、条件触发、横切要求、平台要求。每条结论必须带来源、版本、时间戳与适用性状态。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定义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结果状态</w:t>
            </w:r>
          </w:p>
        </w:tc>
      </w:tr>
      <w:tr>
        <w:tc>
          <w:tcPr>
            <w:tcW w:type="dxa" w:w="2160"/>
          </w:tcPr>
          <w:p>
            <w:r>
              <w:t>直接适用</w:t>
            </w:r>
          </w:p>
        </w:tc>
        <w:tc>
          <w:tcPr>
            <w:tcW w:type="dxa" w:w="2160"/>
          </w:tcPr>
          <w:p>
            <w:r>
              <w:t>产品必需满足</w:t>
            </w:r>
          </w:p>
        </w:tc>
        <w:tc>
          <w:tcPr>
            <w:tcW w:type="dxa" w:w="2160"/>
          </w:tcPr>
          <w:p>
            <w:r>
              <w:t>类目命中</w:t>
            </w:r>
          </w:p>
        </w:tc>
        <w:tc>
          <w:tcPr>
            <w:tcW w:type="dxa" w:w="2160"/>
          </w:tcPr>
          <w:p>
            <w:r>
              <w:t>applicable / not_applicable</w:t>
            </w:r>
          </w:p>
        </w:tc>
      </w:tr>
      <w:tr>
        <w:tc>
          <w:tcPr>
            <w:tcW w:type="dxa" w:w="2160"/>
          </w:tcPr>
          <w:p>
            <w:r>
              <w:t>条件触发</w:t>
            </w:r>
          </w:p>
        </w:tc>
        <w:tc>
          <w:tcPr>
            <w:tcW w:type="dxa" w:w="2160"/>
          </w:tcPr>
          <w:p>
            <w:r>
              <w:t>满足条件才生效</w:t>
            </w:r>
          </w:p>
        </w:tc>
        <w:tc>
          <w:tcPr>
            <w:tcW w:type="dxa" w:w="2160"/>
          </w:tcPr>
          <w:p>
            <w:r>
              <w:t>如带电、含化学物质</w:t>
            </w:r>
          </w:p>
        </w:tc>
        <w:tc>
          <w:tcPr>
            <w:tcW w:type="dxa" w:w="2160"/>
          </w:tcPr>
          <w:p>
            <w:r>
              <w:t>conditional_applicable</w:t>
            </w:r>
          </w:p>
        </w:tc>
      </w:tr>
      <w:tr>
        <w:tc>
          <w:tcPr>
            <w:tcW w:type="dxa" w:w="2160"/>
          </w:tcPr>
          <w:p>
            <w:r>
              <w:t>横切要求</w:t>
            </w:r>
          </w:p>
        </w:tc>
        <w:tc>
          <w:tcPr>
            <w:tcW w:type="dxa" w:w="2160"/>
          </w:tcPr>
          <w:p>
            <w:r>
              <w:t>跨品类共性要求</w:t>
            </w:r>
          </w:p>
        </w:tc>
        <w:tc>
          <w:tcPr>
            <w:tcW w:type="dxa" w:w="2160"/>
          </w:tcPr>
          <w:p>
            <w:r>
              <w:t>标签、召回、消费者保护</w:t>
            </w:r>
          </w:p>
        </w:tc>
        <w:tc>
          <w:tcPr>
            <w:tcW w:type="dxa" w:w="2160"/>
          </w:tcPr>
          <w:p>
            <w:r>
              <w:t>cross_cutting</w:t>
            </w:r>
          </w:p>
        </w:tc>
      </w:tr>
      <w:tr>
        <w:tc>
          <w:tcPr>
            <w:tcW w:type="dxa" w:w="2160"/>
          </w:tcPr>
          <w:p>
            <w:r>
              <w:t>平台要求</w:t>
            </w:r>
          </w:p>
        </w:tc>
        <w:tc>
          <w:tcPr>
            <w:tcW w:type="dxa" w:w="2160"/>
          </w:tcPr>
          <w:p>
            <w:r>
              <w:t>平台额外规则</w:t>
            </w:r>
          </w:p>
        </w:tc>
        <w:tc>
          <w:tcPr>
            <w:tcW w:type="dxa" w:w="2160"/>
          </w:tcPr>
          <w:p>
            <w:r>
              <w:t>站点与类目规则</w:t>
            </w:r>
          </w:p>
        </w:tc>
        <w:tc>
          <w:tcPr>
            <w:tcW w:type="dxa" w:w="2160"/>
          </w:tcPr>
          <w:p>
            <w:r>
              <w:t>platform_required</w:t>
            </w:r>
          </w:p>
        </w:tc>
      </w:tr>
    </w:tbl>
    <w:p>
      <w:r>
        <w:rPr>
          <w:rFonts w:ascii="Consolas" w:hAnsi="Consolas" w:eastAsia="等线"/>
          <w:sz w:val="20"/>
        </w:rPr>
        <w:t>{</w:t>
      </w:r>
      <w:r>
        <w:rPr>
          <w:rFonts w:ascii="Consolas" w:hAnsi="Consolas" w:eastAsia="等线"/>
          <w:sz w:val="20"/>
        </w:rPr>
        <w:br/>
        <w:t xml:space="preserve">  "requirement_id": "EU-TOY-EN71-1",</w:t>
      </w:r>
      <w:r>
        <w:rPr>
          <w:rFonts w:ascii="Consolas" w:hAnsi="Consolas" w:eastAsia="等线"/>
          <w:sz w:val="20"/>
        </w:rPr>
        <w:br/>
        <w:t xml:space="preserve">  "applicability": "conditional_applicable",</w:t>
      </w:r>
      <w:r>
        <w:rPr>
          <w:rFonts w:ascii="Consolas" w:hAnsi="Consolas" w:eastAsia="等线"/>
          <w:sz w:val="20"/>
        </w:rPr>
        <w:br/>
        <w:t xml:space="preserve">  "reason": "玩具类且目标年龄3+",</w:t>
      </w:r>
      <w:r>
        <w:rPr>
          <w:rFonts w:ascii="Consolas" w:hAnsi="Consolas" w:eastAsia="等线"/>
          <w:sz w:val="20"/>
        </w:rPr>
        <w:br/>
        <w:t xml:space="preserve">  "source": {</w:t>
      </w:r>
      <w:r>
        <w:rPr>
          <w:rFonts w:ascii="Consolas" w:hAnsi="Consolas" w:eastAsia="等线"/>
          <w:sz w:val="20"/>
        </w:rPr>
        <w:br/>
        <w:t xml:space="preserve">    "title": "EU Toy Safety Framework",</w:t>
      </w:r>
      <w:r>
        <w:rPr>
          <w:rFonts w:ascii="Consolas" w:hAnsi="Consolas" w:eastAsia="等线"/>
          <w:sz w:val="20"/>
        </w:rPr>
        <w:br/>
        <w:t xml:space="preserve">    "url": "official-source-url",</w:t>
      </w:r>
      <w:r>
        <w:rPr>
          <w:rFonts w:ascii="Consolas" w:hAnsi="Consolas" w:eastAsia="等线"/>
          <w:sz w:val="20"/>
        </w:rPr>
        <w:br/>
        <w:t xml:space="preserve">    "version": "2026-10",</w:t>
      </w:r>
      <w:r>
        <w:rPr>
          <w:rFonts w:ascii="Consolas" w:hAnsi="Consolas" w:eastAsia="等线"/>
          <w:sz w:val="20"/>
        </w:rPr>
        <w:br/>
        <w:t xml:space="preserve">    "retrieved_at": "2026-10-22"</w:t>
      </w:r>
      <w:r>
        <w:rPr>
          <w:rFonts w:ascii="Consolas" w:hAnsi="Consolas" w:eastAsia="等线"/>
          <w:sz w:val="20"/>
        </w:rPr>
        <w:br/>
        <w:t xml:space="preserve">  }</w:t>
      </w:r>
      <w:r>
        <w:rPr>
          <w:rFonts w:ascii="Consolas" w:hAnsi="Consolas" w:eastAsia="等线"/>
          <w:sz w:val="20"/>
        </w:rPr>
        <w:br/>
        <w:t>}</w:t>
      </w:r>
    </w:p>
    <w:p>
      <w:pPr>
        <w:pStyle w:val="Heading1"/>
      </w:pPr>
      <w:r>
        <w:t>8. 关税、税费与成本测算</w:t>
      </w:r>
    </w:p>
    <w:p>
      <w:r>
        <w:t>单位利润公式：单位利润 = 售价 -（采购成本 + 头程物流 + 关税 + VAT/销售税 + 平台佣金 + 履约费 + 广告费 + 退货损耗 + 合规摊销）。</w:t>
      </w:r>
    </w:p>
    <w:p>
      <w:pPr>
        <w:pStyle w:val="Heading2"/>
      </w:pPr>
      <w:r>
        <w:t>8.1 数据值类型区分</w:t>
      </w:r>
    </w:p>
    <w:p>
      <w:pPr>
        <w:pStyle w:val="ListBullet"/>
      </w:pPr>
      <w:r>
        <w:t>官方值：海关税则、税务机关、平台费率文档。</w:t>
      </w:r>
    </w:p>
    <w:p>
      <w:pPr>
        <w:pStyle w:val="ListBullet"/>
      </w:pPr>
      <w:r>
        <w:t>用户输入：采购价、包装成本、目标售价。</w:t>
      </w:r>
    </w:p>
    <w:p>
      <w:pPr>
        <w:pStyle w:val="ListBullet"/>
      </w:pPr>
      <w:r>
        <w:t>估算值：缺失时按行业参数估算并标注置信度。</w:t>
      </w:r>
    </w:p>
    <w:p>
      <w:pPr>
        <w:pStyle w:val="ListBullet"/>
      </w:pPr>
      <w:r>
        <w:t>缺失值：阻断确定性结论，仅给区间与待补项。</w:t>
      </w:r>
    </w:p>
    <w:p>
      <w:pPr>
        <w:pStyle w:val="Heading2"/>
      </w:pPr>
      <w:r>
        <w:t>8.2 HS/CN 编码候选流程示例</w:t>
      </w:r>
    </w:p>
    <w:p>
      <w:pPr>
        <w:pStyle w:val="ListBullet"/>
      </w:pPr>
      <w:r>
        <w:t>先给候选编码而非单一结论。</w:t>
      </w:r>
    </w:p>
    <w:p>
      <w:pPr>
        <w:pStyle w:val="ListBullet"/>
      </w:pPr>
      <w:r>
        <w:t>列出每个候选的适用依据与分歧点。</w:t>
      </w:r>
    </w:p>
    <w:p>
      <w:pPr>
        <w:pStyle w:val="ListBullet"/>
      </w:pPr>
      <w:r>
        <w:t>要求用户提交材质/功能/用途证据后再收敛。</w:t>
      </w:r>
    </w:p>
    <w:p>
      <w:r>
        <w:rPr>
          <w:rFonts w:ascii="Consolas" w:hAnsi="Consolas" w:eastAsia="等线"/>
          <w:sz w:val="20"/>
        </w:rPr>
        <w:t>毛绒玩具候选示例：</w:t>
      </w:r>
      <w:r>
        <w:rPr>
          <w:rFonts w:ascii="Consolas" w:hAnsi="Consolas" w:eastAsia="等线"/>
          <w:sz w:val="20"/>
        </w:rPr>
        <w:br/>
        <w:t>- 候选A：9503.xx（玩具）</w:t>
      </w:r>
      <w:r>
        <w:rPr>
          <w:rFonts w:ascii="Consolas" w:hAnsi="Consolas" w:eastAsia="等线"/>
          <w:sz w:val="20"/>
        </w:rPr>
        <w:br/>
        <w:t>- 候选B：6307.xx（纺织制品）</w:t>
      </w:r>
      <w:r>
        <w:rPr>
          <w:rFonts w:ascii="Consolas" w:hAnsi="Consolas" w:eastAsia="等线"/>
          <w:sz w:val="20"/>
        </w:rPr>
        <w:br/>
        <w:t>谨慎策略：证据不足时并列候选，提示专业报关复核。</w:t>
      </w:r>
    </w:p>
    <w:p>
      <w:pPr>
        <w:pStyle w:val="Heading1"/>
      </w:pPr>
      <w:r>
        <w:t>9. 利润最大化模块</w:t>
      </w:r>
    </w:p>
    <w:p>
      <w:pPr>
        <w:pStyle w:val="ListBullet"/>
      </w:pPr>
      <w:r>
        <w:t>低价走量：以转化率和库存周转优先，容忍较低毛利。</w:t>
      </w:r>
    </w:p>
    <w:p>
      <w:pPr>
        <w:pStyle w:val="ListBullet"/>
      </w:pPr>
      <w:r>
        <w:t>中价品牌化：提升品牌投入，追求稳定利润与复购。</w:t>
      </w:r>
    </w:p>
    <w:p>
      <w:pPr>
        <w:pStyle w:val="ListBullet"/>
      </w:pPr>
      <w:r>
        <w:t>小批量验证：控制风险，快速测试市场反馈。</w:t>
      </w:r>
    </w:p>
    <w:p>
      <w:r>
        <w:rPr>
          <w:rFonts w:ascii="Consolas" w:hAnsi="Consolas" w:eastAsia="等线"/>
          <w:sz w:val="20"/>
        </w:rPr>
        <w:t>风险利润联合指标 = 0.45*利润率得分 + 0.25*现金周转得分 + 0.30*合规风险反向得分</w:t>
      </w:r>
    </w:p>
    <w:p>
      <w:pPr>
        <w:pStyle w:val="Heading1"/>
      </w:pPr>
      <w:r>
        <w:t>10. 平台上架与履约规划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状态</w:t>
            </w:r>
          </w:p>
        </w:tc>
        <w:tc>
          <w:tcPr>
            <w:tcW w:type="dxa" w:w="2160"/>
          </w:tcPr>
          <w:p>
            <w:r>
              <w:t>缺口</w:t>
            </w:r>
          </w:p>
        </w:tc>
      </w:tr>
      <w:tr>
        <w:tc>
          <w:tcPr>
            <w:tcW w:type="dxa" w:w="2160"/>
          </w:tcPr>
          <w:p>
            <w:r>
              <w:t>法律法规层</w:t>
            </w:r>
          </w:p>
        </w:tc>
        <w:tc>
          <w:tcPr>
            <w:tcW w:type="dxa" w:w="2160"/>
          </w:tcPr>
          <w:p>
            <w:r>
              <w:t>检测报告、标签、DoC</w:t>
            </w:r>
          </w:p>
        </w:tc>
        <w:tc>
          <w:tcPr>
            <w:tcW w:type="dxa" w:w="2160"/>
          </w:tcPr>
          <w:p>
            <w:r>
              <w:t>待完成</w:t>
            </w:r>
          </w:p>
        </w:tc>
        <w:tc>
          <w:tcPr>
            <w:tcW w:type="dxa" w:w="2160"/>
          </w:tcPr>
          <w:p>
            <w:r>
              <w:t>缺 EN71 报告</w:t>
            </w:r>
          </w:p>
        </w:tc>
      </w:tr>
      <w:tr>
        <w:tc>
          <w:tcPr>
            <w:tcW w:type="dxa" w:w="2160"/>
          </w:tcPr>
          <w:p>
            <w:r>
              <w:t>平台规则层</w:t>
            </w:r>
          </w:p>
        </w:tc>
        <w:tc>
          <w:tcPr>
            <w:tcW w:type="dxa" w:w="2160"/>
          </w:tcPr>
          <w:p>
            <w:r>
              <w:t>类目门槛、图片、警示语</w:t>
            </w:r>
          </w:p>
        </w:tc>
        <w:tc>
          <w:tcPr>
            <w:tcW w:type="dxa" w:w="2160"/>
          </w:tcPr>
          <w:p>
            <w:r>
              <w:t>部分完成</w:t>
            </w:r>
          </w:p>
        </w:tc>
        <w:tc>
          <w:tcPr>
            <w:tcW w:type="dxa" w:w="2160"/>
          </w:tcPr>
          <w:p>
            <w:r>
              <w:t>警示语多语言不完整</w:t>
            </w:r>
          </w:p>
        </w:tc>
      </w:tr>
      <w:tr>
        <w:tc>
          <w:tcPr>
            <w:tcW w:type="dxa" w:w="2160"/>
          </w:tcPr>
          <w:p>
            <w:r>
              <w:t>履约运营层</w:t>
            </w:r>
          </w:p>
        </w:tc>
        <w:tc>
          <w:tcPr>
            <w:tcW w:type="dxa" w:w="2160"/>
          </w:tcPr>
          <w:p>
            <w:r>
              <w:t>FBA 包装、外箱、条码</w:t>
            </w:r>
          </w:p>
        </w:tc>
        <w:tc>
          <w:tcPr>
            <w:tcW w:type="dxa" w:w="2160"/>
          </w:tcPr>
          <w:p>
            <w:r>
              <w:t>可执行</w:t>
            </w:r>
          </w:p>
        </w:tc>
        <w:tc>
          <w:tcPr>
            <w:tcW w:type="dxa" w:w="2160"/>
          </w:tcPr>
          <w:p>
            <w:r>
              <w:t>需补最终贴标样张</w:t>
            </w:r>
          </w:p>
        </w:tc>
      </w:tr>
    </w:tbl>
    <w:p>
      <w:r>
        <w:t>输出上架准备度评分与资料缺口排序，优先处理阻断型缺口。</w:t>
      </w:r>
    </w:p>
    <w:p>
      <w:pPr>
        <w:pStyle w:val="Heading1"/>
      </w:pPr>
      <w:r>
        <w:t>11. 产品画像与规则引擎</w:t>
      </w:r>
    </w:p>
    <w:p>
      <w:pPr>
        <w:pStyle w:val="Heading2"/>
      </w:pPr>
      <w:r>
        <w:t>11.1 完整字段示例</w:t>
      </w:r>
    </w:p>
    <w:p>
      <w:r>
        <w:rPr>
          <w:rFonts w:ascii="Consolas" w:hAnsi="Consolas" w:eastAsia="等线"/>
          <w:sz w:val="20"/>
        </w:rPr>
        <w:t>{</w:t>
      </w:r>
      <w:r>
        <w:rPr>
          <w:rFonts w:ascii="Consolas" w:hAnsi="Consolas" w:eastAsia="等线"/>
          <w:sz w:val="20"/>
        </w:rPr>
        <w:br/>
        <w:t xml:space="preserve">  "basic": {"name":"毛绒玩具熊","brand":"示例品牌","sku":"PLUSH-BEAR-01"},</w:t>
      </w:r>
      <w:r>
        <w:rPr>
          <w:rFonts w:ascii="Consolas" w:hAnsi="Consolas" w:eastAsia="等线"/>
          <w:sz w:val="20"/>
        </w:rPr>
        <w:br/>
        <w:t xml:space="preserve">  "classification": {"category":"toys.plush","target_age":"3+","electrical":false},</w:t>
      </w:r>
      <w:r>
        <w:rPr>
          <w:rFonts w:ascii="Consolas" w:hAnsi="Consolas" w:eastAsia="等线"/>
          <w:sz w:val="20"/>
        </w:rPr>
        <w:br/>
        <w:t xml:space="preserve">  "materials": [{"name":"polyester","ratio":0.7},{"name":"pp_cotton","ratio":0.3}],</w:t>
      </w:r>
      <w:r>
        <w:rPr>
          <w:rFonts w:ascii="Consolas" w:hAnsi="Consolas" w:eastAsia="等线"/>
          <w:sz w:val="20"/>
        </w:rPr>
        <w:br/>
        <w:t xml:space="preserve">  "trade": {"origin":"CN","market":"EU-DE","platform":"Amazon.de"},</w:t>
      </w:r>
      <w:r>
        <w:rPr>
          <w:rFonts w:ascii="Consolas" w:hAnsi="Consolas" w:eastAsia="等线"/>
          <w:sz w:val="20"/>
        </w:rPr>
        <w:br/>
        <w:t xml:space="preserve">  "economics": {"cost_cny":28,"price_eur":24.99,"weight_kg":0.42}</w:t>
      </w:r>
      <w:r>
        <w:rPr>
          <w:rFonts w:ascii="Consolas" w:hAnsi="Consolas" w:eastAsia="等线"/>
          <w:sz w:val="20"/>
        </w:rPr>
        <w:br/>
        <w:t>}</w:t>
      </w:r>
    </w:p>
    <w:p>
      <w:pPr>
        <w:pStyle w:val="Heading2"/>
      </w:pPr>
      <w:r>
        <w:t>11.2 规则 JSON 示例</w:t>
      </w:r>
    </w:p>
    <w:p>
      <w:r>
        <w:rPr>
          <w:rFonts w:ascii="Consolas" w:hAnsi="Consolas" w:eastAsia="等线"/>
          <w:sz w:val="20"/>
        </w:rPr>
        <w:t>{</w:t>
      </w:r>
      <w:r>
        <w:rPr>
          <w:rFonts w:ascii="Consolas" w:hAnsi="Consolas" w:eastAsia="等线"/>
          <w:sz w:val="20"/>
        </w:rPr>
        <w:br/>
        <w:t xml:space="preserve">  "rule_id": "RULE_TOY_AGE_LABEL",</w:t>
      </w:r>
      <w:r>
        <w:rPr>
          <w:rFonts w:ascii="Consolas" w:hAnsi="Consolas" w:eastAsia="等线"/>
          <w:sz w:val="20"/>
        </w:rPr>
        <w:br/>
        <w:t xml:space="preserve">  "when": [</w:t>
      </w:r>
      <w:r>
        <w:rPr>
          <w:rFonts w:ascii="Consolas" w:hAnsi="Consolas" w:eastAsia="等线"/>
          <w:sz w:val="20"/>
        </w:rPr>
        <w:br/>
        <w:t xml:space="preserve">    {"field": "classification.category", "op": "eq", "value": "toys.plush"},</w:t>
      </w:r>
      <w:r>
        <w:rPr>
          <w:rFonts w:ascii="Consolas" w:hAnsi="Consolas" w:eastAsia="等线"/>
          <w:sz w:val="20"/>
        </w:rPr>
        <w:br/>
        <w:t xml:space="preserve">    {"field": "classification.target_age", "op": "in", "value": ["3+", "6+"]}</w:t>
      </w:r>
      <w:r>
        <w:rPr>
          <w:rFonts w:ascii="Consolas" w:hAnsi="Consolas" w:eastAsia="等线"/>
          <w:sz w:val="20"/>
        </w:rPr>
        <w:br/>
        <w:t xml:space="preserve">  ],</w:t>
      </w:r>
      <w:r>
        <w:rPr>
          <w:rFonts w:ascii="Consolas" w:hAnsi="Consolas" w:eastAsia="等线"/>
          <w:sz w:val="20"/>
        </w:rPr>
        <w:br/>
        <w:t xml:space="preserve">  "then": {</w:t>
      </w:r>
      <w:r>
        <w:rPr>
          <w:rFonts w:ascii="Consolas" w:hAnsi="Consolas" w:eastAsia="等线"/>
          <w:sz w:val="20"/>
        </w:rPr>
        <w:br/>
        <w:t xml:space="preserve">    "requirement": "需提供年龄警示语与安全标签",</w:t>
      </w:r>
      <w:r>
        <w:rPr>
          <w:rFonts w:ascii="Consolas" w:hAnsi="Consolas" w:eastAsia="等线"/>
          <w:sz w:val="20"/>
        </w:rPr>
        <w:br/>
        <w:t xml:space="preserve">    "severity": "high",</w:t>
      </w:r>
      <w:r>
        <w:rPr>
          <w:rFonts w:ascii="Consolas" w:hAnsi="Consolas" w:eastAsia="等线"/>
          <w:sz w:val="20"/>
        </w:rPr>
        <w:br/>
        <w:t xml:space="preserve">    "task_template": "prepare_age_warning_label"</w:t>
      </w:r>
      <w:r>
        <w:rPr>
          <w:rFonts w:ascii="Consolas" w:hAnsi="Consolas" w:eastAsia="等线"/>
          <w:sz w:val="20"/>
        </w:rPr>
        <w:br/>
        <w:t xml:space="preserve">  }</w:t>
      </w:r>
      <w:r>
        <w:rPr>
          <w:rFonts w:ascii="Consolas" w:hAnsi="Consolas" w:eastAsia="等线"/>
          <w:sz w:val="20"/>
        </w:rPr>
        <w:br/>
        <w:t>}</w:t>
      </w:r>
    </w:p>
    <w:p>
      <w:pPr>
        <w:pStyle w:val="Heading2"/>
      </w:pPr>
      <w:r>
        <w:t>11.3 规则结果类型</w:t>
      </w:r>
    </w:p>
    <w:p>
      <w:pPr>
        <w:pStyle w:val="ListBullet"/>
      </w:pPr>
      <w:r>
        <w:t>pass</w:t>
      </w:r>
    </w:p>
    <w:p>
      <w:pPr>
        <w:pStyle w:val="ListBullet"/>
      </w:pPr>
      <w:r>
        <w:t>fail</w:t>
      </w:r>
    </w:p>
    <w:p>
      <w:pPr>
        <w:pStyle w:val="ListBullet"/>
      </w:pPr>
      <w:r>
        <w:t>warning</w:t>
      </w:r>
    </w:p>
    <w:p>
      <w:pPr>
        <w:pStyle w:val="ListBullet"/>
      </w:pPr>
      <w:r>
        <w:t>unknown</w:t>
      </w:r>
    </w:p>
    <w:p>
      <w:pPr>
        <w:pStyle w:val="Heading1"/>
      </w:pPr>
      <w:r>
        <w:t>12. 任务、证据与合规闭环</w:t>
      </w:r>
    </w:p>
    <w:p>
      <w:pPr>
        <w:pStyle w:val="ListBullet"/>
      </w:pPr>
      <w:r>
        <w:t>任务状态：todo / in_progress / blocked / reviewing / done</w:t>
      </w:r>
    </w:p>
    <w:p>
      <w:pPr>
        <w:pStyle w:val="ListBullet"/>
      </w:pPr>
      <w:r>
        <w:t>证据类型：检测报告、合规声明、标签稿件、平台截图</w:t>
      </w:r>
    </w:p>
    <w:p>
      <w:r>
        <w:rPr>
          <w:rFonts w:ascii="Consolas" w:hAnsi="Consolas" w:eastAsia="等线"/>
          <w:sz w:val="20"/>
        </w:rPr>
        <w:t>流程：法规 -&gt; Requirement -&gt; Task -&gt; Evidence -&gt; Reviewer复核 -&gt; Assessment更新</w:t>
      </w:r>
    </w:p>
    <w:p>
      <w:pPr>
        <w:pStyle w:val="Heading1"/>
      </w:pPr>
      <w:r>
        <w:t>13. 系统架构与 AI 分工</w:t>
      </w:r>
    </w:p>
    <w:p>
      <w:pPr>
        <w:pStyle w:val="ListBullet"/>
      </w:pPr>
      <w:r>
        <w:t>主编排 Agent 负责会话与任务流转。</w:t>
      </w:r>
    </w:p>
    <w:p>
      <w:pPr>
        <w:pStyle w:val="ListBullet"/>
      </w:pPr>
      <w:r>
        <w:t>法规 Agent 负责适用性判定与来源绑定。</w:t>
      </w:r>
    </w:p>
    <w:p>
      <w:pPr>
        <w:pStyle w:val="ListBullet"/>
      </w:pPr>
      <w:r>
        <w:t>平台 Agent 负责站点规则核验。</w:t>
      </w:r>
    </w:p>
    <w:p>
      <w:pPr>
        <w:pStyle w:val="ListBullet"/>
      </w:pPr>
      <w:r>
        <w:t>经济 Agent 负责成本利润测算。</w:t>
      </w:r>
    </w:p>
    <w:p>
      <w:pPr>
        <w:pStyle w:val="ListBullet"/>
      </w:pPr>
      <w:r>
        <w:t>工具层提供检索、计算、存储与审计导出。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LLM 能做</w:t>
            </w:r>
          </w:p>
        </w:tc>
        <w:tc>
          <w:tcPr>
            <w:tcW w:type="dxa" w:w="4320"/>
          </w:tcPr>
          <w:p>
            <w:r>
              <w:t>LLM 不能做</w:t>
            </w:r>
          </w:p>
        </w:tc>
      </w:tr>
      <w:tr>
        <w:tc>
          <w:tcPr>
            <w:tcW w:type="dxa" w:w="4320"/>
          </w:tcPr>
          <w:p>
            <w:r>
              <w:t>抽取信息、生成追问、组织报告、解释规则</w:t>
            </w:r>
          </w:p>
        </w:tc>
        <w:tc>
          <w:tcPr>
            <w:tcW w:type="dxa" w:w="4320"/>
          </w:tcPr>
          <w:p>
            <w:r>
              <w:t>替代法律/税务/报关专业意见</w:t>
            </w:r>
          </w:p>
        </w:tc>
      </w:tr>
      <w:tr>
        <w:tc>
          <w:tcPr>
            <w:tcW w:type="dxa" w:w="4320"/>
          </w:tcPr>
          <w:p>
            <w:r>
              <w:t>在不确定时输出缺口与风险提示</w:t>
            </w:r>
          </w:p>
        </w:tc>
        <w:tc>
          <w:tcPr>
            <w:tcW w:type="dxa" w:w="4320"/>
          </w:tcPr>
          <w:p>
            <w:r>
              <w:t>在缺少关键字段时给确定性结论</w:t>
            </w:r>
          </w:p>
        </w:tc>
      </w:tr>
    </w:tbl>
    <w:p>
      <w:pPr>
        <w:pStyle w:val="Heading1"/>
      </w:pPr>
      <w:r>
        <w:t>14. 数据模型</w:t>
      </w:r>
    </w:p>
    <w:p>
      <w:pPr>
        <w:pStyle w:val="Heading2"/>
      </w:pPr>
      <w:r>
        <w:t>Product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name</w:t>
      </w:r>
      <w:r>
        <w:rPr>
          <w:rFonts w:ascii="Consolas" w:hAnsi="Consolas" w:eastAsia="等线"/>
          <w:sz w:val="20"/>
        </w:rPr>
        <w:br/>
        <w:t>category</w:t>
      </w:r>
      <w:r>
        <w:rPr>
          <w:rFonts w:ascii="Consolas" w:hAnsi="Consolas" w:eastAsia="等线"/>
          <w:sz w:val="20"/>
        </w:rPr>
        <w:br/>
        <w:t>target_age</w:t>
      </w:r>
      <w:r>
        <w:rPr>
          <w:rFonts w:ascii="Consolas" w:hAnsi="Consolas" w:eastAsia="等线"/>
          <w:sz w:val="20"/>
        </w:rPr>
        <w:br/>
        <w:t>electrical</w:t>
      </w:r>
      <w:r>
        <w:rPr>
          <w:rFonts w:ascii="Consolas" w:hAnsi="Consolas" w:eastAsia="等线"/>
          <w:sz w:val="20"/>
        </w:rPr>
        <w:br/>
        <w:t>materials</w:t>
      </w:r>
      <w:r>
        <w:rPr>
          <w:rFonts w:ascii="Consolas" w:hAnsi="Consolas" w:eastAsia="等线"/>
          <w:sz w:val="20"/>
        </w:rPr>
        <w:br/>
        <w:t>dimensions</w:t>
      </w:r>
      <w:r>
        <w:rPr>
          <w:rFonts w:ascii="Consolas" w:hAnsi="Consolas" w:eastAsia="等线"/>
          <w:sz w:val="20"/>
        </w:rPr>
        <w:br/>
        <w:t>weight</w:t>
      </w:r>
      <w:r>
        <w:rPr>
          <w:rFonts w:ascii="Consolas" w:hAnsi="Consolas" w:eastAsia="等线"/>
          <w:sz w:val="20"/>
        </w:rPr>
        <w:br/>
        <w:t>origin_country</w:t>
      </w:r>
    </w:p>
    <w:p>
      <w:pPr>
        <w:pStyle w:val="Heading2"/>
      </w:pPr>
      <w:r>
        <w:t>MarketPlan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product_id</w:t>
      </w:r>
      <w:r>
        <w:rPr>
          <w:rFonts w:ascii="Consolas" w:hAnsi="Consolas" w:eastAsia="等线"/>
          <w:sz w:val="20"/>
        </w:rPr>
        <w:br/>
        <w:t>market</w:t>
      </w:r>
      <w:r>
        <w:rPr>
          <w:rFonts w:ascii="Consolas" w:hAnsi="Consolas" w:eastAsia="等线"/>
          <w:sz w:val="20"/>
        </w:rPr>
        <w:br/>
        <w:t>platform</w:t>
      </w:r>
      <w:r>
        <w:rPr>
          <w:rFonts w:ascii="Consolas" w:hAnsi="Consolas" w:eastAsia="等线"/>
          <w:sz w:val="20"/>
        </w:rPr>
        <w:br/>
        <w:t>fulfillment</w:t>
      </w:r>
      <w:r>
        <w:rPr>
          <w:rFonts w:ascii="Consolas" w:hAnsi="Consolas" w:eastAsia="等线"/>
          <w:sz w:val="20"/>
        </w:rPr>
        <w:br/>
        <w:t>priority_score</w:t>
      </w:r>
      <w:r>
        <w:rPr>
          <w:rFonts w:ascii="Consolas" w:hAnsi="Consolas" w:eastAsia="等线"/>
          <w:sz w:val="20"/>
        </w:rPr>
        <w:br/>
        <w:t>entry_phase</w:t>
      </w:r>
    </w:p>
    <w:p>
      <w:pPr>
        <w:pStyle w:val="Heading2"/>
      </w:pPr>
      <w:r>
        <w:t>Requirement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source_ref</w:t>
      </w:r>
      <w:r>
        <w:rPr>
          <w:rFonts w:ascii="Consolas" w:hAnsi="Consolas" w:eastAsia="等线"/>
          <w:sz w:val="20"/>
        </w:rPr>
        <w:br/>
        <w:t>layer</w:t>
      </w:r>
      <w:r>
        <w:rPr>
          <w:rFonts w:ascii="Consolas" w:hAnsi="Consolas" w:eastAsia="等线"/>
          <w:sz w:val="20"/>
        </w:rPr>
        <w:br/>
        <w:t>applicability</w:t>
      </w:r>
      <w:r>
        <w:rPr>
          <w:rFonts w:ascii="Consolas" w:hAnsi="Consolas" w:eastAsia="等线"/>
          <w:sz w:val="20"/>
        </w:rPr>
        <w:br/>
        <w:t>severity</w:t>
      </w:r>
      <w:r>
        <w:rPr>
          <w:rFonts w:ascii="Consolas" w:hAnsi="Consolas" w:eastAsia="等线"/>
          <w:sz w:val="20"/>
        </w:rPr>
        <w:br/>
        <w:t>effective_date</w:t>
      </w:r>
    </w:p>
    <w:p>
      <w:pPr>
        <w:pStyle w:val="Heading2"/>
      </w:pPr>
      <w:r>
        <w:t>Assessment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product_id</w:t>
      </w:r>
      <w:r>
        <w:rPr>
          <w:rFonts w:ascii="Consolas" w:hAnsi="Consolas" w:eastAsia="等线"/>
          <w:sz w:val="20"/>
        </w:rPr>
        <w:br/>
        <w:t>market_plan_id</w:t>
      </w:r>
      <w:r>
        <w:rPr>
          <w:rFonts w:ascii="Consolas" w:hAnsi="Consolas" w:eastAsia="等线"/>
          <w:sz w:val="20"/>
        </w:rPr>
        <w:br/>
        <w:t>status</w:t>
      </w:r>
      <w:r>
        <w:rPr>
          <w:rFonts w:ascii="Consolas" w:hAnsi="Consolas" w:eastAsia="等线"/>
          <w:sz w:val="20"/>
        </w:rPr>
        <w:br/>
        <w:t>risk_score</w:t>
      </w:r>
      <w:r>
        <w:rPr>
          <w:rFonts w:ascii="Consolas" w:hAnsi="Consolas" w:eastAsia="等线"/>
          <w:sz w:val="20"/>
        </w:rPr>
        <w:br/>
        <w:t>summary</w:t>
      </w:r>
      <w:r>
        <w:rPr>
          <w:rFonts w:ascii="Consolas" w:hAnsi="Consolas" w:eastAsia="等线"/>
          <w:sz w:val="20"/>
        </w:rPr>
        <w:br/>
        <w:t>updated_at</w:t>
      </w:r>
    </w:p>
    <w:p>
      <w:pPr>
        <w:pStyle w:val="Heading2"/>
      </w:pPr>
      <w:r>
        <w:t>Evidence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type</w:t>
      </w:r>
      <w:r>
        <w:rPr>
          <w:rFonts w:ascii="Consolas" w:hAnsi="Consolas" w:eastAsia="等线"/>
          <w:sz w:val="20"/>
        </w:rPr>
        <w:br/>
        <w:t>uri</w:t>
      </w:r>
      <w:r>
        <w:rPr>
          <w:rFonts w:ascii="Consolas" w:hAnsi="Consolas" w:eastAsia="等线"/>
          <w:sz w:val="20"/>
        </w:rPr>
        <w:br/>
        <w:t>issuer</w:t>
      </w:r>
      <w:r>
        <w:rPr>
          <w:rFonts w:ascii="Consolas" w:hAnsi="Consolas" w:eastAsia="等线"/>
          <w:sz w:val="20"/>
        </w:rPr>
        <w:br/>
        <w:t>issue_date</w:t>
      </w:r>
      <w:r>
        <w:rPr>
          <w:rFonts w:ascii="Consolas" w:hAnsi="Consolas" w:eastAsia="等线"/>
          <w:sz w:val="20"/>
        </w:rPr>
        <w:br/>
        <w:t>version</w:t>
      </w:r>
      <w:r>
        <w:rPr>
          <w:rFonts w:ascii="Consolas" w:hAnsi="Consolas" w:eastAsia="等线"/>
          <w:sz w:val="20"/>
        </w:rPr>
        <w:br/>
        <w:t>linked_requirement_id</w:t>
      </w:r>
    </w:p>
    <w:p>
      <w:pPr>
        <w:pStyle w:val="Heading2"/>
      </w:pPr>
      <w:r>
        <w:t>Task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title</w:t>
      </w:r>
      <w:r>
        <w:rPr>
          <w:rFonts w:ascii="Consolas" w:hAnsi="Consolas" w:eastAsia="等线"/>
          <w:sz w:val="20"/>
        </w:rPr>
        <w:br/>
        <w:t>owner</w:t>
      </w:r>
      <w:r>
        <w:rPr>
          <w:rFonts w:ascii="Consolas" w:hAnsi="Consolas" w:eastAsia="等线"/>
          <w:sz w:val="20"/>
        </w:rPr>
        <w:br/>
        <w:t>status</w:t>
      </w:r>
      <w:r>
        <w:rPr>
          <w:rFonts w:ascii="Consolas" w:hAnsi="Consolas" w:eastAsia="等线"/>
          <w:sz w:val="20"/>
        </w:rPr>
        <w:br/>
        <w:t>due_date</w:t>
      </w:r>
      <w:r>
        <w:rPr>
          <w:rFonts w:ascii="Consolas" w:hAnsi="Consolas" w:eastAsia="等线"/>
          <w:sz w:val="20"/>
        </w:rPr>
        <w:br/>
        <w:t>requirement_id</w:t>
      </w:r>
      <w:r>
        <w:rPr>
          <w:rFonts w:ascii="Consolas" w:hAnsi="Consolas" w:eastAsia="等线"/>
          <w:sz w:val="20"/>
        </w:rPr>
        <w:br/>
        <w:t>evidence_id</w:t>
      </w:r>
    </w:p>
    <w:p>
      <w:pPr>
        <w:pStyle w:val="Heading2"/>
      </w:pPr>
      <w:r>
        <w:t>CostScenario</w:t>
      </w:r>
    </w:p>
    <w:p>
      <w:r>
        <w:rPr>
          <w:rFonts w:ascii="Consolas" w:hAnsi="Consolas" w:eastAsia="等线"/>
          <w:sz w:val="20"/>
        </w:rPr>
        <w:t>id</w:t>
      </w:r>
      <w:r>
        <w:rPr>
          <w:rFonts w:ascii="Consolas" w:hAnsi="Consolas" w:eastAsia="等线"/>
          <w:sz w:val="20"/>
        </w:rPr>
        <w:br/>
        <w:t>product_id</w:t>
      </w:r>
      <w:r>
        <w:rPr>
          <w:rFonts w:ascii="Consolas" w:hAnsi="Consolas" w:eastAsia="等线"/>
          <w:sz w:val="20"/>
        </w:rPr>
        <w:br/>
        <w:t>market</w:t>
      </w:r>
      <w:r>
        <w:rPr>
          <w:rFonts w:ascii="Consolas" w:hAnsi="Consolas" w:eastAsia="等线"/>
          <w:sz w:val="20"/>
        </w:rPr>
        <w:br/>
        <w:t>price</w:t>
      </w:r>
      <w:r>
        <w:rPr>
          <w:rFonts w:ascii="Consolas" w:hAnsi="Consolas" w:eastAsia="等线"/>
          <w:sz w:val="20"/>
        </w:rPr>
        <w:br/>
        <w:t>cost_items</w:t>
      </w:r>
      <w:r>
        <w:rPr>
          <w:rFonts w:ascii="Consolas" w:hAnsi="Consolas" w:eastAsia="等线"/>
          <w:sz w:val="20"/>
        </w:rPr>
        <w:br/>
        <w:t>profit</w:t>
      </w:r>
      <w:r>
        <w:rPr>
          <w:rFonts w:ascii="Consolas" w:hAnsi="Consolas" w:eastAsia="等线"/>
          <w:sz w:val="20"/>
        </w:rPr>
        <w:br/>
        <w:t>sensitivity</w:t>
      </w:r>
    </w:p>
    <w:p>
      <w:pPr>
        <w:pStyle w:val="Heading1"/>
      </w:pPr>
      <w:r>
        <w:t>15. 对现有仓库的扩展方案</w:t>
      </w:r>
    </w:p>
    <w:p>
      <w:pPr>
        <w:pStyle w:val="ListBullet"/>
      </w:pPr>
      <w:r>
        <w:t>新增 core/product_profile.py</w:t>
      </w:r>
    </w:p>
    <w:p>
      <w:pPr>
        <w:pStyle w:val="ListBullet"/>
      </w:pPr>
      <w:r>
        <w:t>新增 core/follow_up.py</w:t>
      </w:r>
    </w:p>
    <w:p>
      <w:pPr>
        <w:pStyle w:val="ListBullet"/>
      </w:pPr>
      <w:r>
        <w:t>新增 core/assessment_orchestrator.py</w:t>
      </w:r>
    </w:p>
    <w:p>
      <w:pPr>
        <w:pStyle w:val="ListBullet"/>
      </w:pPr>
      <w:r>
        <w:t>新增 core/launch_plan.py</w:t>
      </w:r>
    </w:p>
    <w:p>
      <w:pPr>
        <w:pStyle w:val="ListBullet"/>
      </w:pPr>
      <w:r>
        <w:t>新增 core/economics.py</w:t>
      </w:r>
    </w:p>
    <w:p>
      <w:pPr>
        <w:pStyle w:val="ListBullet"/>
      </w:pPr>
      <w:r>
        <w:t>新增 core/tariff.py</w:t>
      </w:r>
    </w:p>
    <w:p>
      <w:pPr>
        <w:pStyle w:val="ListBullet"/>
      </w:pPr>
      <w:r>
        <w:t>新增 core/platform_rules.py</w:t>
      </w:r>
    </w:p>
    <w:p>
      <w:pPr>
        <w:pStyle w:val="ListBullet"/>
      </w:pPr>
      <w:r>
        <w:t>新增 core/evidence.py</w:t>
      </w:r>
    </w:p>
    <w:p>
      <w:pPr>
        <w:pStyle w:val="ListBullet"/>
      </w:pPr>
      <w:r>
        <w:t>新增 core/impact_analysis.py</w:t>
      </w:r>
    </w:p>
    <w:p>
      <w:r>
        <w:t>各模块配套自检脚本，覆盖识别、追问、适用性、成本、证据链。</w:t>
      </w:r>
    </w:p>
    <w:p>
      <w:r>
        <w:t>复用现有 conversation.py（会话）、corpus.py（语料）、freshness.py（时效）、law_intake.py（法规摄取）、web_app.py（前端入口与结果展示）。</w:t>
      </w:r>
    </w:p>
    <w:p>
      <w:pPr>
        <w:pStyle w:val="Heading1"/>
      </w:pPr>
      <w:r>
        <w:t>16. 版本路线图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主题</w:t>
            </w:r>
          </w:p>
        </w:tc>
        <w:tc>
          <w:tcPr>
            <w:tcW w:type="dxa" w:w="2880"/>
          </w:tcPr>
          <w:p>
            <w:r>
              <w:t>交付重点</w:t>
            </w:r>
          </w:p>
        </w:tc>
      </w:tr>
      <w:tr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主动追问与产品画像</w:t>
            </w:r>
          </w:p>
        </w:tc>
        <w:tc>
          <w:tcPr>
            <w:tcW w:type="dxa" w:w="2880"/>
          </w:tcPr>
          <w:p>
            <w:r>
              <w:t>M8/M9 上线</w:t>
            </w:r>
          </w:p>
        </w:tc>
      </w:tr>
      <w:tr>
        <w:tc>
          <w:tcPr>
            <w:tcW w:type="dxa" w:w="2880"/>
          </w:tcPr>
          <w:p>
            <w:r>
              <w:t>V2.1</w:t>
            </w:r>
          </w:p>
        </w:tc>
        <w:tc>
          <w:tcPr>
            <w:tcW w:type="dxa" w:w="2880"/>
          </w:tcPr>
          <w:p>
            <w:r>
              <w:t>法规与平台准备</w:t>
            </w:r>
          </w:p>
        </w:tc>
        <w:tc>
          <w:tcPr>
            <w:tcW w:type="dxa" w:w="2880"/>
          </w:tcPr>
          <w:p>
            <w:r>
              <w:t>M10/M11/M15 上线</w:t>
            </w:r>
          </w:p>
        </w:tc>
      </w:tr>
      <w:tr>
        <w:tc>
          <w:tcPr>
            <w:tcW w:type="dxa" w:w="2880"/>
          </w:tcPr>
          <w:p>
            <w:r>
              <w:t>V2.2</w:t>
            </w:r>
          </w:p>
        </w:tc>
        <w:tc>
          <w:tcPr>
            <w:tcW w:type="dxa" w:w="2880"/>
          </w:tcPr>
          <w:p>
            <w:r>
              <w:t>成本利润</w:t>
            </w:r>
          </w:p>
        </w:tc>
        <w:tc>
          <w:tcPr>
            <w:tcW w:type="dxa" w:w="2880"/>
          </w:tcPr>
          <w:p>
            <w:r>
              <w:t>M12/M13/M14 上线</w:t>
            </w:r>
          </w:p>
        </w:tc>
      </w:tr>
      <w:tr>
        <w:tc>
          <w:tcPr>
            <w:tcW w:type="dxa" w:w="2880"/>
          </w:tcPr>
          <w:p>
            <w:r>
              <w:t>V2.3</w:t>
            </w:r>
          </w:p>
        </w:tc>
        <w:tc>
          <w:tcPr>
            <w:tcW w:type="dxa" w:w="2880"/>
          </w:tcPr>
          <w:p>
            <w:r>
              <w:t>市场选择</w:t>
            </w:r>
          </w:p>
        </w:tc>
        <w:tc>
          <w:tcPr>
            <w:tcW w:type="dxa" w:w="2880"/>
          </w:tcPr>
          <w:p>
            <w:r>
              <w:t>多市场比较与优先级</w:t>
            </w:r>
          </w:p>
        </w:tc>
      </w:tr>
      <w:tr>
        <w:tc>
          <w:tcPr>
            <w:tcW w:type="dxa" w:w="2880"/>
          </w:tcPr>
          <w:p>
            <w:r>
              <w:t>V3.0</w:t>
            </w:r>
          </w:p>
        </w:tc>
        <w:tc>
          <w:tcPr>
            <w:tcW w:type="dxa" w:w="2880"/>
          </w:tcPr>
          <w:p>
            <w:r>
              <w:t>企业协作与持续监控</w:t>
            </w:r>
          </w:p>
        </w:tc>
        <w:tc>
          <w:tcPr>
            <w:tcW w:type="dxa" w:w="2880"/>
          </w:tcPr>
          <w:p>
            <w:r>
              <w:t>M16/M17 上线</w:t>
            </w:r>
          </w:p>
        </w:tc>
      </w:tr>
    </w:tbl>
    <w:p>
      <w:pPr>
        <w:pStyle w:val="Heading1"/>
      </w:pPr>
      <w:r>
        <w:t>17. 可直接交给 AI Coding Agent 的开工任务框架</w:t>
      </w:r>
    </w:p>
    <w:p>
      <w:r>
        <w:rPr>
          <w:rFonts w:ascii="Consolas" w:hAnsi="Consolas" w:eastAsia="等线"/>
          <w:sz w:val="20"/>
        </w:rPr>
        <w:t>项目背景：从法规问答升级为经营决策与合规执行助手。</w:t>
      </w:r>
      <w:r>
        <w:rPr>
          <w:rFonts w:ascii="Consolas" w:hAnsi="Consolas" w:eastAsia="等线"/>
          <w:sz w:val="20"/>
        </w:rPr>
        <w:br/>
        <w:t>核心流程：Input -&gt; Profile -&gt; FollowUp -&gt; Assessment -&gt; LaunchPlan -&gt; Economics -&gt; Evidence。</w:t>
      </w:r>
      <w:r>
        <w:rPr>
          <w:rFonts w:ascii="Consolas" w:hAnsi="Consolas" w:eastAsia="等线"/>
          <w:sz w:val="20"/>
        </w:rPr>
        <w:br/>
        <w:t>设计约束：缺关键字段不输出确定结论；所有结论带来源与时间戳。</w:t>
      </w:r>
    </w:p>
    <w:p>
      <w:r>
        <w:rPr>
          <w:rFonts w:ascii="Consolas" w:hAnsi="Consolas" w:eastAsia="等线"/>
          <w:sz w:val="20"/>
        </w:rPr>
        <w:t>第一阶段函数接口：</w:t>
      </w:r>
      <w:r>
        <w:rPr>
          <w:rFonts w:ascii="Consolas" w:hAnsi="Consolas" w:eastAsia="等线"/>
          <w:sz w:val="20"/>
        </w:rPr>
        <w:br/>
        <w:t>- build_product_profile(raw_input) -&gt; dict</w:t>
      </w:r>
      <w:r>
        <w:rPr>
          <w:rFonts w:ascii="Consolas" w:hAnsi="Consolas" w:eastAsia="等线"/>
          <w:sz w:val="20"/>
        </w:rPr>
        <w:br/>
        <w:t>- generate_follow_up_questions(profile, goal) -&gt; list</w:t>
      </w:r>
      <w:r>
        <w:rPr>
          <w:rFonts w:ascii="Consolas" w:hAnsi="Consolas" w:eastAsia="等线"/>
          <w:sz w:val="20"/>
        </w:rPr>
        <w:br/>
        <w:t>- run_assessment(profile, market, platform) -&gt; dict</w:t>
      </w:r>
      <w:r>
        <w:rPr>
          <w:rFonts w:ascii="Consolas" w:hAnsi="Consolas" w:eastAsia="等线"/>
          <w:sz w:val="20"/>
        </w:rPr>
        <w:br/>
        <w:t>- estimate_costs(profile, market, assumptions) -&gt; dict</w:t>
      </w:r>
      <w:r>
        <w:rPr>
          <w:rFonts w:ascii="Consolas" w:hAnsi="Consolas" w:eastAsia="等线"/>
          <w:sz w:val="20"/>
        </w:rPr>
        <w:br/>
        <w:t>- build_launch_plan(assessment, costs) -&gt; dict</w:t>
      </w:r>
    </w:p>
    <w:p>
      <w:r>
        <w:rPr>
          <w:rFonts w:ascii="Consolas" w:hAnsi="Consolas" w:eastAsia="等线"/>
          <w:sz w:val="20"/>
        </w:rPr>
        <w:t>API 建议：</w:t>
      </w:r>
      <w:r>
        <w:rPr>
          <w:rFonts w:ascii="Consolas" w:hAnsi="Consolas" w:eastAsia="等线"/>
          <w:sz w:val="20"/>
        </w:rPr>
        <w:br/>
        <w:t>POST /api/assessment/start</w:t>
      </w:r>
      <w:r>
        <w:rPr>
          <w:rFonts w:ascii="Consolas" w:hAnsi="Consolas" w:eastAsia="等线"/>
          <w:sz w:val="20"/>
        </w:rPr>
        <w:br/>
        <w:t>POST /api/assessment/{id}/answer</w:t>
      </w:r>
      <w:r>
        <w:rPr>
          <w:rFonts w:ascii="Consolas" w:hAnsi="Consolas" w:eastAsia="等线"/>
          <w:sz w:val="20"/>
        </w:rPr>
        <w:br/>
        <w:t>GET  /api/assessment/{id}/report</w:t>
      </w:r>
      <w:r>
        <w:rPr>
          <w:rFonts w:ascii="Consolas" w:hAnsi="Consolas" w:eastAsia="等线"/>
          <w:sz w:val="20"/>
        </w:rPr>
        <w:br/>
        <w:t>GET  /api/assessment/{id}/evidence</w:t>
      </w:r>
    </w:p>
    <w:p>
      <w:pPr>
        <w:pStyle w:val="Heading1"/>
      </w:pPr>
      <w:r>
        <w:t>18. 第一阶段验收标准</w:t>
      </w:r>
    </w:p>
    <w:p>
      <w:r>
        <w:t>验收输入：我要卖毛绒玩具到德国亚马逊。</w:t>
      </w:r>
    </w:p>
    <w:p>
      <w:pPr>
        <w:pStyle w:val="ListBullet"/>
      </w:pPr>
      <w:r>
        <w:t>识别正确：类目 toys.plush、年龄 3+、非电类。</w:t>
      </w:r>
    </w:p>
    <w:p>
      <w:pPr>
        <w:pStyle w:val="ListBullet"/>
      </w:pPr>
      <w:r>
        <w:t>追问不少于三轮并解释必要性。</w:t>
      </w:r>
    </w:p>
    <w:p>
      <w:pPr>
        <w:pStyle w:val="ListBullet"/>
      </w:pPr>
      <w:r>
        <w:t>法规输出包含适用状态与来源。</w:t>
      </w:r>
    </w:p>
    <w:p>
      <w:pPr>
        <w:pStyle w:val="ListBullet"/>
      </w:pPr>
      <w:r>
        <w:t>成本输出区分官方值/用户输入/估算值/缺失值。</w:t>
      </w:r>
    </w:p>
    <w:p>
      <w:pPr>
        <w:pStyle w:val="ListBullet"/>
      </w:pPr>
      <w:r>
        <w:t>会话隔离：不同用户或会话不串上下文。</w:t>
      </w:r>
    </w:p>
    <w:p>
      <w:pPr>
        <w:pStyle w:val="ListBullet"/>
      </w:pPr>
      <w:r>
        <w:t>来源完整可回溯。</w:t>
      </w:r>
    </w:p>
    <w:p>
      <w:pPr>
        <w:pStyle w:val="ListBullet"/>
      </w:pPr>
      <w:r>
        <w:t>新增模块均有自检脚本并通过。</w:t>
      </w:r>
    </w:p>
    <w:p>
      <w:pPr>
        <w:pStyle w:val="Heading1"/>
      </w:pPr>
      <w:r>
        <w:t>19. 商业化方向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目标客户</w:t>
            </w:r>
          </w:p>
        </w:tc>
        <w:tc>
          <w:tcPr>
            <w:tcW w:type="dxa" w:w="2880"/>
          </w:tcPr>
          <w:p>
            <w:r>
              <w:t>模式</w:t>
            </w:r>
          </w:p>
        </w:tc>
      </w:tr>
      <w:tr>
        <w:tc>
          <w:tcPr>
            <w:tcW w:type="dxa" w:w="2880"/>
          </w:tcPr>
          <w:p>
            <w:r>
              <w:t>订阅版</w:t>
            </w:r>
          </w:p>
        </w:tc>
        <w:tc>
          <w:tcPr>
            <w:tcW w:type="dxa" w:w="2880"/>
          </w:tcPr>
          <w:p>
            <w:r>
              <w:t>中小商家</w:t>
            </w:r>
          </w:p>
        </w:tc>
        <w:tc>
          <w:tcPr>
            <w:tcW w:type="dxa" w:w="2880"/>
          </w:tcPr>
          <w:p>
            <w:r>
              <w:t>按账号和国家包订阅</w:t>
            </w:r>
          </w:p>
        </w:tc>
      </w:tr>
      <w:tr>
        <w:tc>
          <w:tcPr>
            <w:tcW w:type="dxa" w:w="2880"/>
          </w:tcPr>
          <w:p>
            <w:r>
              <w:t>检测机构/律所专业版</w:t>
            </w:r>
          </w:p>
        </w:tc>
        <w:tc>
          <w:tcPr>
            <w:tcW w:type="dxa" w:w="2880"/>
          </w:tcPr>
          <w:p>
            <w:r>
              <w:t>专业服务机构</w:t>
            </w:r>
          </w:p>
        </w:tc>
        <w:tc>
          <w:tcPr>
            <w:tcW w:type="dxa" w:w="2880"/>
          </w:tcPr>
          <w:p>
            <w:r>
              <w:t>席位+项目制</w:t>
            </w:r>
          </w:p>
        </w:tc>
      </w:tr>
      <w:tr>
        <w:tc>
          <w:tcPr>
            <w:tcW w:type="dxa" w:w="2880"/>
          </w:tcPr>
          <w:p>
            <w:r>
              <w:t>园区白标版</w:t>
            </w:r>
          </w:p>
        </w:tc>
        <w:tc>
          <w:tcPr>
            <w:tcW w:type="dxa" w:w="2880"/>
          </w:tcPr>
          <w:p>
            <w:r>
              <w:t>产业园区与服务商</w:t>
            </w:r>
          </w:p>
        </w:tc>
        <w:tc>
          <w:tcPr>
            <w:tcW w:type="dxa" w:w="2880"/>
          </w:tcPr>
          <w:p>
            <w:r>
              <w:t>年费+定制部署</w:t>
            </w:r>
          </w:p>
        </w:tc>
      </w:tr>
      <w:tr>
        <w:tc>
          <w:tcPr>
            <w:tcW w:type="dxa" w:w="2880"/>
          </w:tcPr>
          <w:p>
            <w:r>
              <w:t>API/数据服务</w:t>
            </w:r>
          </w:p>
        </w:tc>
        <w:tc>
          <w:tcPr>
            <w:tcW w:type="dxa" w:w="2880"/>
          </w:tcPr>
          <w:p>
            <w:r>
              <w:t>SaaS/ERP 厂商</w:t>
            </w:r>
          </w:p>
        </w:tc>
        <w:tc>
          <w:tcPr>
            <w:tcW w:type="dxa" w:w="2880"/>
          </w:tcPr>
          <w:p>
            <w:r>
              <w:t>调用量计费</w:t>
            </w:r>
          </w:p>
        </w:tc>
      </w:tr>
    </w:tbl>
    <w:p>
      <w:pPr>
        <w:pStyle w:val="Heading1"/>
      </w:pPr>
      <w:r>
        <w:t>20. 总结</w:t>
      </w:r>
    </w:p>
    <w:p>
      <w:r>
        <w:t>最终定位：面向中国商家的出海经营决策与合规执行助手。最小可行闭环：产品画像、主动追问、法规适配、成本利润、任务证据、复核监控。通过该闭环，可将“问答能力”转化为“经营动作与合规结果”。</w:t>
      </w:r>
    </w:p>
    <w:p>
      <w:pPr>
        <w:pStyle w:val="Heading1"/>
      </w:pPr>
      <w:r>
        <w:t>免责声明</w:t>
      </w:r>
    </w:p>
    <w:p>
      <w:r>
        <w:t>法规、税率、平台费用、关税编码及利润测算均需以最新官方资料和专业人员复核为准，不构成法律、税务或报关意见。</w:t>
      </w:r>
    </w:p>
    <w:p>
      <w:pPr>
        <w:pStyle w:val="Heading2"/>
      </w:pPr>
      <w:r>
        <w:t>附录 A1：实施细化条目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A4：实施细化条目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A5：实施细化条目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A6：实施细化条目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A7：实施细化条目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A8：实施细化条目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A9：实施细化条目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A10：实施细化条目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A11：实施细化条目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A12：实施细化条目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A13：实施细化条目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A14：实施细化条目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A15：实施细化条目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A16：实施细化条目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A17：实施细化条目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A18：实施细化条目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A19：实施细化条目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A20：实施细化条目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A21：实施细化条目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A22：实施细化条目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A23：实施细化条目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A24：实施细化条目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A25：实施细化条目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A26：实施细化条目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A27：实施细化条目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A28：实施细化条目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A29：实施细化条目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A30：实施细化条目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A31：实施细化条目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A32：实施细化条目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A33：实施细化条目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A34：实施细化条目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A35：实施细化条目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A36：实施细化条目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A37：实施细化条目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A38：实施细化条目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A39：实施细化条目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p>
      <w:pPr>
        <w:pStyle w:val="Heading2"/>
      </w:pPr>
      <w:r>
        <w:t>附录 A40：实施细化条目</w:t>
      </w:r>
    </w:p>
    <w:p>
      <w:r>
        <w:t>建议建立固定周节奏：法规更新审查、规则差异复盘、数据源可靠性抽样、利润模型偏差复核、任务证据抽检。</w:t>
      </w:r>
    </w:p>
    <w:p>
      <w:r>
        <w:t>发布前执行回归：输入识别、追问策略、适用性判断、平台核验、成本公式、证据可追溯、审计导出。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项目方案｜2026 年 10 月 22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合规雷达 ComplianceRadar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