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PROGRAMA DE PROMOÇÃO DA SAÚDE MENTAL E DESENVOLVIMENTO SOCIOEMOCIONAL NO ENSINO MÉDIO</w:t>
        <w:br/>
        <w:br/>
        <w:t>Proponente: Prof. Cristiano Damasceno Silva</w:t>
        <w:br/>
        <w:t>Local de Execução: Escola de Educação Básica Professora Maria Amin Ghanem</w:t>
        <w:br/>
        <w:t>Público-Alvo: Estudantes do Ensino Médio</w:t>
        <w:br/>
        <w:br/>
        <w:br/>
        <w:t>1. INTRODUÇÃO</w:t>
        <w:br/>
        <w:br/>
        <w:t>A adolescência, especialmente no contexto do Ensino Médio, caracteriza-se por intensas transformações cognitivas, emocionais e sociais. Nesse período, fatores como pressão por desempenho acadêmico (ENEM), definição de carreira e inserção no mercado de trabalho podem atuar como estressores significativos, contribuindo para o surgimento de quadros de ansiedade, estresse e  manifestações de sofrimento psíquico.</w:t>
        <w:br/>
        <w:br/>
        <w:t>A escola, enquanto espaço privilegiado de socialização e desenvolvimento, desempenha papel fundamental na promoção da saúde mental e na prevenção de agravos emocionais. Assim, a criação de espaços estruturados de escuta e acolhimento configura-se como estratégia preventiva essencial.</w:t>
        <w:br/>
        <w:br/>
        <w:t>O presente programa está alinhado à Lei nº 13.935/2019 e às diretrizes da Base Nacional Comum Curricular, especialmente no que se refere ao desenvolvimento de competências socioemocionais.</w:t>
        <w:br/>
        <w:br/>
        <w:br/>
        <w:t>2. JUSTIFICATIVA</w:t>
        <w:br/>
        <w:br/>
        <w:t>Evidências científicas apontam crescimento significativo de transtornos de ansiedade entre adolescentes, impactando diretamente o desempenho acadêmico, as relações interpessoais e a permanência escolar.</w:t>
        <w:br/>
        <w:br/>
        <w:t>Nesse contexto, destacam-se:</w:t>
        <w:br/>
        <w:br/>
        <w:t>2.1 Fatores de risco</w:t>
        <w:br/>
        <w:t xml:space="preserve"> •</w:t>
        <w:tab/>
        <w:t>Pressão acadêmica excessiva</w:t>
        <w:br/>
        <w:t xml:space="preserve"> •</w:t>
        <w:tab/>
        <w:t>Insegurança quanto ao futuro</w:t>
        <w:br/>
        <w:t xml:space="preserve"> •</w:t>
        <w:tab/>
        <w:t>Baixa regulação emocional</w:t>
        <w:br/>
        <w:t xml:space="preserve"> •</w:t>
        <w:tab/>
        <w:t>Fragilidade nas redes de apoio</w:t>
        <w:br/>
        <w:br/>
        <w:t>2.2 Fatores de proteção</w:t>
        <w:br/>
        <w:t xml:space="preserve"> •</w:t>
        <w:tab/>
        <w:t>Espaços de escuta qualificada</w:t>
        <w:br/>
        <w:t xml:space="preserve"> •</w:t>
        <w:tab/>
        <w:t>Desenvolvimento de habilidades socioemocionais</w:t>
        <w:br/>
        <w:t xml:space="preserve"> •</w:t>
        <w:tab/>
        <w:t>Apoio institucional</w:t>
        <w:br/>
        <w:t xml:space="preserve"> •</w:t>
        <w:tab/>
        <w:t>Fortalecimento de vínculos</w:t>
        <w:br/>
        <w:br/>
        <w:t>Dessa forma, a implementação de um programa estruturado de acolhimento contribui para a promoção do bem-estar psicológico e para a prevenção de agravamentos.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>3. OBJETIVOS</w:t>
        <w:br/>
        <w:br/>
        <w:t>3.1 Objetivo Geral</w:t>
        <w:br/>
        <w:br/>
        <w:t>Promover um espaço estruturado de escuta, acolhimento e psicoeducação, favorecendo o desenvolvimento de habilidades de regulação emocional e enfrentamento das demandas escolares e pessoais.</w:t>
        <w:br/>
        <w:br/>
        <w:t>3.2 Objetivos Específicos</w:t>
        <w:br/>
        <w:tab/>
        <w:t>•</w:t>
        <w:tab/>
        <w:t>Identificar e reduzir sintomas de ansiedade relacionados ao contexto escolar</w:t>
        <w:br/>
        <w:tab/>
        <w:t>•</w:t>
        <w:tab/>
        <w:t>Desenvolver estratégias de enfrentamento (coping)</w:t>
        <w:br/>
        <w:tab/>
        <w:t>•</w:t>
        <w:tab/>
        <w:t>Estimular o autoconhecimento e o projeto de vida</w:t>
        <w:br/>
        <w:tab/>
        <w:t>•</w:t>
        <w:tab/>
        <w:t>Promover competências socioemocionais</w:t>
        <w:br/>
        <w:tab/>
        <w:t>•</w:t>
        <w:tab/>
        <w:t>Realizar triagem inicial de casos que demandem atenção especializada</w:t>
        <w:br/>
        <w:tab/>
        <w:t>•</w:t>
        <w:tab/>
        <w:t>Encaminhar para a rede pública de saúde quando necessário</w:t>
        <w:br/>
        <w:br/>
        <w:br/>
        <w:br/>
        <w:t>4. FUNDAMENTAÇÃO TEÓRICA</w:t>
        <w:br/>
        <w:br/>
        <w:t>4.1 Terapia Cognitivo-Comportamental (TCC)</w:t>
        <w:br/>
        <w:br/>
        <w:t>A Terapia Cognitivo-Comportamental apresenta ampla evidência científica na redução de sintomas de ansiedade, por meio da modificação de padrões cognitivos disfuncionais e do desenvolvimento de habilidades práticas.</w:t>
        <w:br/>
        <w:br/>
        <w:t>4.2 Escuta Psicanalítica e Pedagógica</w:t>
        <w:br/>
        <w:br/>
        <w:t>A escuta qualificada possibilita a elaboração simbólica das angústias, promovendo autonomia e responsabilização subjetiva.</w:t>
        <w:br/>
        <w:br/>
        <w:t>4.3 Educação Socioemocional</w:t>
        <w:br/>
        <w:br/>
        <w:t>Alinhada à Base Nacional Comum Curricular, contempla:</w:t>
        <w:br/>
        <w:tab/>
        <w:t>•</w:t>
        <w:tab/>
        <w:t>autoconhecimento</w:t>
        <w:br/>
        <w:tab/>
        <w:t>•</w:t>
        <w:tab/>
        <w:t>autocontrole</w:t>
        <w:br/>
        <w:tab/>
        <w:t>•</w:t>
        <w:tab/>
        <w:t xml:space="preserve">empatia </w:t>
      </w:r>
      <w:r>
        <w:rPr/>
        <w:t>(Conceito e aprofundamento)</w:t>
      </w:r>
      <w:r>
        <w:rPr/>
        <w:br/>
        <w:tab/>
        <w:t>•</w:t>
        <w:tab/>
        <w:t>tomada de decisão responsável</w:t>
        <w:br/>
        <w:br/>
        <w:br/>
        <w:t>5. METODOLOGIA</w:t>
        <w:br/>
        <w:br/>
        <w:t>5.1 Estrutura Geral</w:t>
        <w:br/>
        <w:tab/>
        <w:t>•</w:t>
        <w:tab/>
        <w:t>Modalidade: grupos</w:t>
        <w:br/>
        <w:tab/>
        <w:t>•</w:t>
        <w:tab/>
        <w:t>Participantes: 10 a 15 alunos</w:t>
        <w:br/>
        <w:tab/>
        <w:t>•</w:t>
        <w:tab/>
        <w:t>Periodicidade: quinzenal</w:t>
        <w:br/>
        <w:tab/>
        <w:t>•</w:t>
        <w:tab/>
        <w:t>Duração: 50 a 60 minutos</w:t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>5.2 Estrutura dos Encontros</w:t>
        <w:br/>
        <w:tab/>
        <w:t>1.</w:t>
        <w:tab/>
        <w:t>Acolhimento inicial</w:t>
        <w:br/>
        <w:tab/>
        <w:t>2.</w:t>
        <w:tab/>
        <w:t>Desenvolvimento temático com atividades práticas</w:t>
        <w:br/>
        <w:tab/>
        <w:t>3.</w:t>
        <w:tab/>
        <w:t>Reflexão e fechamento</w:t>
        <w:br/>
        <w:br/>
        <w:br/>
        <w:t>5.3 Temas Abordados</w:t>
        <w:br/>
        <w:tab/>
        <w:t>•</w:t>
        <w:tab/>
        <w:t>Funcionamento da ansiedade</w:t>
        <w:br/>
        <w:tab/>
        <w:t>•</w:t>
        <w:tab/>
        <w:t>Pensamentos automáticos</w:t>
        <w:br/>
        <w:tab/>
        <w:t>•</w:t>
        <w:tab/>
        <w:t>Regulação emocional</w:t>
        <w:br/>
        <w:tab/>
        <w:t>•</w:t>
        <w:tab/>
        <w:t>Projeto de vida</w:t>
        <w:br/>
        <w:tab/>
        <w:t>•</w:t>
        <w:tab/>
        <w:t>Pressões sociais</w:t>
        <w:br/>
        <w:tab/>
        <w:t>•</w:t>
        <w:tab/>
        <w:t>Redes de apoio</w:t>
        <w:br/>
        <w:br/>
        <w:br/>
        <w:t>5.4 Técnicas Utilizadas</w:t>
        <w:br/>
        <w:tab/>
        <w:t>•</w:t>
        <w:tab/>
        <w:t>Respiração diafragmática</w:t>
        <w:br/>
        <w:tab/>
        <w:t>•</w:t>
        <w:tab/>
        <w:t>Técnicas de ancoragem</w:t>
        <w:br/>
        <w:tab/>
        <w:t>•</w:t>
        <w:tab/>
        <w:t>Registro de pensamentos</w:t>
        <w:br/>
        <w:tab/>
        <w:t>•</w:t>
        <w:tab/>
        <w:t>Resolução de problemas</w:t>
        <w:br/>
        <w:br/>
        <w:br/>
        <w:t>6. AVALIAÇÃO E INDICADORES DE RESULTADO</w:t>
        <w:br/>
        <w:br/>
        <w:t>6.1 Indicadores Quantitativos</w:t>
        <w:br/>
        <w:tab/>
        <w:t>•</w:t>
        <w:tab/>
        <w:t>Frequência e adesão</w:t>
        <w:br/>
        <w:tab/>
        <w:t>•</w:t>
        <w:tab/>
        <w:t>Aplicação de escala breve de ansiedade (pré e pós)</w:t>
        <w:br/>
        <w:tab/>
        <w:t>•</w:t>
        <w:tab/>
        <w:t>Número de encaminhamentos</w:t>
        <w:br/>
        <w:br/>
        <w:t>6.2 Indicadores Qualitativos</w:t>
        <w:br/>
        <w:tab/>
        <w:t>•</w:t>
        <w:tab/>
        <w:t>Relatos dos participantes</w:t>
        <w:br/>
        <w:tab/>
        <w:t>•</w:t>
        <w:tab/>
        <w:t>Feedback dos alunos</w:t>
        <w:br/>
        <w:tab/>
        <w:t>•</w:t>
        <w:tab/>
        <w:t>Observações da equipe pedagógica</w:t>
        <w:br/>
        <w:br/>
        <w:br/>
        <w:t>7. FLUXO DE ENCAMINHAMENTO</w:t>
        <w:br/>
        <w:br/>
        <w:t>Casos que apresentem sofrimento psíquico significativo serão encaminhados para:</w:t>
        <w:br/>
        <w:tab/>
        <w:t>•</w:t>
        <w:tab/>
        <w:t>Centro de Atenção Psicossocial</w:t>
        <w:br/>
        <w:tab/>
        <w:t>•</w:t>
        <w:tab/>
        <w:t>Unidade Básica de Saúde (UBS)</w:t>
        <w:br/>
        <w:br/>
        <w:t>Critérios de encaminhamento</w:t>
        <w:br/>
        <w:tab/>
        <w:t>•</w:t>
        <w:tab/>
        <w:t>Ideação suicida</w:t>
        <w:br/>
        <w:tab/>
        <w:t>•</w:t>
        <w:tab/>
        <w:t>Sofrimento intenso persistente</w:t>
        <w:br/>
        <w:tab/>
        <w:t>•</w:t>
        <w:tab/>
        <w:t>Prejuízo funcional relevante</w:t>
        <w:br/>
        <w:br/>
        <w:t>A articulação será realizada com a gestão escolar e responsáveis legais.</w:t>
        <w:br/>
        <w:br/>
        <w:br/>
        <w:t>8. PARTICIPAÇÃO DA FAMÍLIA</w:t>
        <w:br/>
        <w:br/>
        <w:t>A participação da família será considerada como elemento complementar ao processo, podendo ocorrer por meio de:</w:t>
        <w:br/>
        <w:tab/>
        <w:t>•</w:t>
        <w:tab/>
        <w:t>reuniões informativas</w:t>
        <w:br/>
        <w:tab/>
        <w:t>•</w:t>
        <w:tab/>
        <w:t>orientações pontuais aos responsáveis</w:t>
        <w:br/>
        <w:tab/>
        <w:t>•</w:t>
        <w:tab/>
        <w:t>encaminhamentos compartilhados</w:t>
        <w:br/>
        <w:br/>
        <w:t>Essa integração fortalece os fatores de proteção e amplia o suporte ao estudante.</w:t>
        <w:br/>
        <w:br/>
        <w:br/>
        <w:t>9. CRONOGRAMA DE IMPLANTAÇÃO</w:t>
        <w:br/>
        <w:tab/>
        <w:t>•</w:t>
        <w:tab/>
        <w:t>Fase 1: Alinhamento com gestão</w:t>
        <w:br/>
        <w:tab/>
        <w:t>•</w:t>
        <w:tab/>
        <w:t>Fase 2: Sensibilização</w:t>
        <w:br/>
        <w:tab/>
        <w:t>•</w:t>
        <w:tab/>
        <w:t>Fase 3: Coleta de TCLE</w:t>
        <w:br/>
        <w:tab/>
        <w:t>•</w:t>
        <w:tab/>
        <w:t>Fase 4: Início das atividades</w:t>
        <w:br/>
        <w:br/>
        <w:br/>
        <w:t>10. CONSIDERAÇÕES ÉTICAS E LIMITES DE ATUAÇÃO</w:t>
        <w:br/>
        <w:br/>
        <w:t>O programa caracteriza-se como intervenção preventiva e psicoeducativa, não substituindo psicoterapia clínica individual.</w:t>
        <w:br/>
        <w:br/>
        <w:t>Serão respeitados:</w:t>
        <w:br/>
        <w:tab/>
        <w:t>•</w:t>
        <w:tab/>
        <w:t>sigilo das informações</w:t>
        <w:br/>
        <w:tab/>
        <w:t>•</w:t>
        <w:tab/>
        <w:t>limites técnicos da atuação escolar</w:t>
        <w:br/>
        <w:tab/>
        <w:t>•</w:t>
        <w:tab/>
        <w:t>encaminhamento obrigatório em casos de risco</w:t>
        <w:br/>
        <w:br/>
        <w:br/>
        <w:t>11. REFERÊNCIAS</w:t>
        <w:br/>
        <w:br/>
        <w:t>BRASIL. Lei nº 13.935/2019.</w:t>
        <w:br/>
        <w:t xml:space="preserve">Disponível em:  </w:t>
      </w:r>
      <w:hyperlink r:id="rId2">
        <w:r>
          <w:rPr>
            <w:rStyle w:val="Hyperlink"/>
          </w:rPr>
          <w:t>http://www.planalto.gov.br/ccivil_03/_ato2019-2022/2019/lei/L13935.htm</w:t>
        </w:r>
      </w:hyperlink>
    </w:p>
    <w:p>
      <w:pPr>
        <w:pStyle w:val="Normal"/>
        <w:bidi w:val="0"/>
        <w:jc w:val="start"/>
        <w:rPr/>
      </w:pPr>
      <w:r>
        <w:rPr/>
        <w:br/>
        <w:br/>
        <w:t>BRASIL. Base Nacional Comum Curricular.</w:t>
        <w:br/>
        <w:t xml:space="preserve">Disponível em: </w:t>
      </w:r>
      <w:hyperlink r:id="rId3">
        <w:r>
          <w:rPr>
            <w:rStyle w:val="Hyperlink"/>
          </w:rPr>
          <w:t>http://basenacionalcomum.mec.gov.br/</w:t>
        </w:r>
      </w:hyperlink>
    </w:p>
    <w:p>
      <w:pPr>
        <w:pStyle w:val="Normal"/>
        <w:bidi w:val="0"/>
        <w:jc w:val="start"/>
        <w:rPr/>
      </w:pPr>
      <w:r>
        <w:rPr/>
        <w:br/>
        <w:br/>
        <w:t>Organização Mundial da Saúde. Adolescent mental health.</w:t>
        <w:br/>
      </w:r>
      <w:hyperlink r:id="rId4">
        <w:r>
          <w:rPr>
            <w:rStyle w:val="Hyperlink"/>
          </w:rPr>
          <w:t>https://www.who.int/news-room/fact-sheets/detail/adolescent-mental-health</w:t>
        </w:r>
      </w:hyperlink>
      <w:r>
        <w:rPr/>
        <w:br/>
        <w:br/>
        <w:t>HOFMANN, S. G. et al. Cognitive Behavioral Therapy.</w:t>
        <w:br/>
      </w:r>
      <w:hyperlink r:id="rId5">
        <w:r>
          <w:rPr>
            <w:rStyle w:val="Hyperlink"/>
          </w:rPr>
          <w:t>https://www.ncbi.nlm.nih.gov/pmc/articles/PMC3584580/</w:t>
        </w:r>
      </w:hyperlink>
    </w:p>
    <w:p>
      <w:pPr>
        <w:pStyle w:val="Normal"/>
        <w:bidi w:val="0"/>
        <w:jc w:val="start"/>
        <w:rPr/>
      </w:pPr>
      <w:r>
        <w:rPr/>
        <w:br/>
        <w:br/>
        <w:t>SPITZER, R. L. et al. GAD-7 Scale.</w:t>
        <w:br/>
      </w:r>
      <w:hyperlink r:id="rId6">
        <w:r>
          <w:rPr>
            <w:rStyle w:val="Hyperlink"/>
          </w:rPr>
          <w:t>https://www.ncbi.nlm.nih.gov/pmc/articles/PMC1845153/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planalto.gov.br/ccivil_03/_ato2019-2022/2019/lei/L13935.htm" TargetMode="External"/><Relationship Id="rId3" Type="http://schemas.openxmlformats.org/officeDocument/2006/relationships/hyperlink" Target="http://basenacionalcomum.mec.gov.br/" TargetMode="External"/><Relationship Id="rId4" Type="http://schemas.openxmlformats.org/officeDocument/2006/relationships/hyperlink" Target="https://www.who.int/news-room/fact-sheets/detail/adolescent-mental-health" TargetMode="External"/><Relationship Id="rId5" Type="http://schemas.openxmlformats.org/officeDocument/2006/relationships/hyperlink" Target="https://www.ncbi.nlm.nih.gov/pmc/articles/PMC3584580/" TargetMode="External"/><Relationship Id="rId6" Type="http://schemas.openxmlformats.org/officeDocument/2006/relationships/hyperlink" Target="https://www.ncbi.nlm.nih.gov/pmc/articles/PMC1845153/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LibreOffice/26.2.0.3$Windows_X86_64 LibreOffice_project/620$Build-3</Application>
  <AppVersion>15.0000</AppVersion>
  <Pages>4</Pages>
  <Words>732</Words>
  <Characters>4844</Characters>
  <CharactersWithSpaces>5695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2026-03-21T20:57:48Z</dcterms:created>
  <dc:creator/>
  <dc:description/>
  <dc:language>pt-BR</dc:language>
  <cp:lastModifiedBy/>
  <dcterms:modified xsi:type="dcterms:W3CDTF">2026-03-21T21:13:05Z</dcterms:modified>
  <cp:revision>5</cp:revision>
  <dc:subject/>
  <dc:title/>
</cp:coreProperties>
</file>