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CCA V05 — correção de compatibilidade de importação</w:t>
      </w:r>
    </w:p>
    <w:p>
      <w:r>
        <w:t>As versões V03 e V04 falharam na abertura do Microsoft Project do usuário. A validação anterior com MPXJ não comprovou compatibilidade com o aplicativo nativo. A causa exata da rejeição do campo Name não foi confirmada.</w:t>
      </w:r>
    </w:p>
    <w:p>
      <w:pPr>
        <w:pStyle w:val="Heading1"/>
      </w:pPr>
      <w:r>
        <w:t>Alteração isolada</w:t>
      </w:r>
    </w:p>
    <w:p>
      <w:r>
        <w:t>No XML, somente os 399 campos Resources/Resource/Name foram alterados. Cada nome agora usa R seguido do UID com cinco algarismos, como R00026 e R00150. São seis caracteres ASCII alfanuméricos, sem espaços, acentos ou pontuação. Todos os demais elementos XML permanecem idênticos à V04: tarefas, identificadores, recursos, preços, custos, unidades, calendários, atribuições e distribuição temporal.</w:t>
      </w:r>
    </w:p>
    <w:p>
      <w:r>
        <w:t>Os nomes internos do projeto e as notas ainda indicam V04, intencionalmente, para isolar o teste no campo recusado. O arquivo desta entrega é CCA_V05.xml. Os nomes codificados são uma medida de compatibilidade; as descrições completas estão no Excel, aba Mapa_Nomes_Project, e no CSV correspondente. A planilha de recursos mantém as descrições contratuais e apresenta o nome utilizado no Project em uma coluna separada.</w:t>
      </w:r>
    </w:p>
    <w:p>
      <w:pPr>
        <w:pStyle w:val="Heading1"/>
      </w:pPr>
      <w:r>
        <w:t>Uso e confirmação</w:t>
      </w:r>
    </w:p>
    <w:p>
      <w:r>
        <w:t>Cancele a importação que está repetindo erros e não salve seu resultado parcial. Baixe o novo CCA_V05.xml, abra no Microsoft Project e escolha importar como novo projeto. Não sobrescreva o MPP original. Se a abertura ocorrer sem erros, confira a Planilha de Recursos e as atribuições antes de salvar em MPP. Se falhar, registre o UID e o elemento indicados: a V05 não será considerada validada enquanto a abertura nativa não for confirmada.</w:t>
      </w:r>
    </w:p>
    <w:p>
      <w:pPr>
        <w:pStyle w:val="Heading1"/>
      </w:pPr>
      <w:r>
        <w:t>Limites de validação</w:t>
      </w:r>
    </w:p>
    <w:p>
      <w:r>
        <w:t>O Microsoft Project não está disponível neste ambiente. A V05 é uma entrega de compatibilidade para confirmação no aplicativo, não uma versão executiva aprovada. Os testes estruturais, numéricos e de leitura com MPXJ verificam a consistência dos dados, mas não substituem a abertura no Microsoft Project. A aprovação DCMA de 14 pontos permanece pendente, assim como rede executiva, calendário operacional, capacidade e os 38 itens sem distribuição.</w:t>
      </w:r>
    </w:p>
    <w:p>
      <w:r>
        <w:t>A V05 substitui os arquivos anteriores para este teste de importação. Preserve as fontes originais; não interprete a substituição como descarte dos documentos contratuais. Os relatórios de consolidação anteriores servem como histórico e devem ser lidos com este registro de falha e correção.</w:t>
      </w:r>
    </w:p>
    <w:p>
      <w:pPr>
        <w:pStyle w:val="Heading1"/>
      </w:pPr>
      <w:r>
        <w:t>Comparação com o modelo reenviado</w:t>
      </w:r>
    </w:p>
    <w:p>
      <w:r>
        <w:t>Mesmo namespace e SaveVersion. O modelo tem virgulas nos nomes; nao ha evidencia suficiente para atribuir toda rejeicao somente a pontuacao. V05 isola Resource/Name com nomes codificados, sem reserializacao MPXJ.</w:t>
      </w:r>
    </w:p>
    <w:p>
      <w:r>
        <w:t>O modelo contém 607 tarefas, 365 recursos e 365 atribuições. Na V05 foram preservadas as 607 tarefas, os 399 recursos e as 1.446 atribuições consolidadas da V04. A diferença inclui os recursos e demandas operacionais acrescentados na consolidação. Não foi usada a estrutura mais simples como substituição automática de toda a rede ou dos custos, pois isso eliminaria dados do trabalho realizado.</w:t>
      </w:r>
    </w:p>
    <w:p>
      <w:r>
        <w:t>A indicação de maior sucesso com o modelo foi registrada como evidência fornecida pelo usuário, e não como teste executado aqui. O diagnóstico de causa permanece aberto. Se o Project rejeitar até nomes alfanuméricos de seis caracteres, será necessário investigar a estrutura de Resource e sua relação com os demais campos, utilizando o modelo como controle.</w:t>
      </w:r>
    </w:p>
    <w:p>
      <w:r>
        <w:t>399 nomes distintos, 6 caracteres ASCII alfanumericos: PASS</w:t>
      </w:r>
    </w:p>
    <w:p>
      <w:r>
        <w:t>Nenhum outro elemento XML alterado em relacao a V04: PASS</w:t>
      </w:r>
    </w:p>
    <w:p>
      <w:r>
        <w:t>Descricoes completas preservadas no Excel e CSV: PASS</w:t>
      </w:r>
    </w:p>
    <w:p>
      <w:r>
        <w:t>Microsoft Project nativo: PENDENTE</w:t>
      </w:r>
    </w:p>
    <w:p>
      <w:r>
        <w:t>Leitura MPXJ, contagens, referencias e custos: PASS</w:t>
      </w:r>
    </w:p>
    <w:p>
      <w:r>
        <w:t>365 chaves contratuais e custos apos leitura: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