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200"/>
              <w:left w:type="dxa" w:w="120"/>
              <w:bottom w:type="dxa" w:w="200"/>
              <w:right w:type="dxa" w:w="120"/>
            </w:tcMar>
            <w:vAlign w:val="top"/>
          </w:tcPr>
          <w:p>
            <w:pPr>
              <w:spacing w:after="4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Política de Crédito</w:t>
            </w:r>
          </w:p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color w:val="D9E1F2"/>
                <w:sz w:val="18"/>
                <w:szCs w:val="18"/>
              </w:rPr>
              <w:t xml:space="preserve">Vendas Minha Casa Minha Vida · entrada durante a obra · financiamento Caixa na entrega das chaves</w:t>
            </w:r>
          </w:p>
        </w:tc>
      </w:tr>
    </w:tbl>
    <w:p>
      <w:pPr>
        <w:spacing w:after="16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2F5597" w:sz="24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Regra de ouro: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não basta o nome estar limpo hoje. Só vendemos para quem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vai ser aprovado pela Caixa no dia das chaves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daqui a 12 a 18 meses. Cliente reprovado no repasse devolve a unidade pronta, com custo de distrato, revenda e risco de ação judicial — e esse risco é nosso.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1. As três perguntas, nesta ordem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160"/>
        <w:gridCol w:w="3295"/>
        <w:gridCol w:w="160"/>
        <w:gridCol w:w="3296"/>
      </w:tblGrid>
      <w:tr>
        <w:trPr>
          <w:cantSplit/>
        </w:trPr>
        <w:tc>
          <w:tcPr>
            <w:tcW w:type="dxa" w:w="3295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2F5597"/>
                <w:sz w:val="19"/>
                <w:szCs w:val="19"/>
              </w:rPr>
              <w:t xml:space="preserve">1  Pode entrar no MCMV?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Renda dentro da faixa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Não tem imóvel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Nunca teve financiamento habitacional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5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2F5597"/>
                <w:sz w:val="19"/>
                <w:szCs w:val="19"/>
              </w:rPr>
              <w:t xml:space="preserve">2  A dívida dá para limpar a tempo?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Quanto deve, para quem e desde quando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Seções 2 a 4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6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2F5597"/>
                <w:sz w:val="19"/>
                <w:szCs w:val="19"/>
              </w:rPr>
              <w:t xml:space="preserve">3  A renda aguenta?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Parcela Caixa até 30% da renda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Tudo somado até 35%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Seção 5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2. Quanto de "nome sujo" aceitamos</w:t>
      </w:r>
    </w:p>
    <w:p>
      <w:pPr>
        <w:spacing w:after="10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Some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todas</w:t>
      </w:r>
      <w:r>
        <w:rPr>
          <w:rFonts w:ascii="Arial" w:cs="Arial" w:eastAsia="Arial" w:hAnsi="Arial"/>
          <w:sz w:val="20"/>
          <w:szCs w:val="20"/>
        </w:rPr>
        <w:t xml:space="preserve"> as restrições (negativações, protestos, cheques) e compare com a renda bruta da família.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Vale a linha mais rigorosa</w:t>
      </w:r>
      <w:r>
        <w:rPr>
          <w:rFonts w:ascii="Arial" w:cs="Arial" w:eastAsia="Arial" w:hAnsi="Arial"/>
          <w:sz w:val="20"/>
          <w:szCs w:val="20"/>
        </w:rPr>
        <w:t xml:space="preserve"> entre o valor em reais e a proporção da renda.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1939"/>
        <w:gridCol w:w="1939"/>
        <w:gridCol w:w="4695"/>
      </w:tblGrid>
      <w:tr>
        <w:trPr>
          <w:tblHeader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Soma das dívidas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ou, pela renda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Decisão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Sem restrição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Assina.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Acompanhamento normal.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até R$ 1.000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até metade da renda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Assina com o Termo.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60 dias para limpar.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Moderada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R$ 1.001 a R$ 3.000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até 1 renda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Dívida de loja/conta: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assina com o Termo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, 90 dias.</w:t>
            </w:r>
          </w:p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Dívida de banco: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só reserva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até quitar.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R$ 3.001 a R$ 6.000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até 2 rendas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Não assina.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Reserva por 60 dias (sinal devolvido se o crédito não sair); assina só depois de quitar e nova análise Caixa.</w:t>
            </w:r>
          </w:p>
        </w:tc>
      </w:tr>
      <w:tr>
        <w:trPr>
          <w:cantSplit/>
        </w:trPr>
        <w:tc>
          <w:tcPr>
            <w:tcW w:type="dxa" w:w="16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Grave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acima de R$ 6.000</w:t>
            </w:r>
          </w:p>
        </w:tc>
        <w:tc>
          <w:tcPr>
            <w:tcW w:type="dxa" w:w="19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mais de 2 rendas</w:t>
            </w:r>
          </w:p>
        </w:tc>
        <w:tc>
          <w:tcPr>
            <w:tcW w:type="dxa" w:w="46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Não vende.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Orienta e reavalia em 6 meses.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3"/>
        <w:gridCol w:w="160"/>
        <w:gridCol w:w="5023"/>
      </w:tblGrid>
      <w:tr>
        <w:trPr>
          <w:cantSplit/>
        </w:trPr>
        <w:tc>
          <w:tcPr>
            <w:tcW w:type="dxa" w:w="5023"/>
            <w:tcBorders>
              <w:top w:val="single" w:color="C55A11" w:sz="18"/>
              <w:left w:val="none" w:color="FFFFFF" w:sz="0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19"/>
                <w:szCs w:val="19"/>
              </w:rPr>
              <w:t xml:space="preserve">Sobe um nível se tiver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 ou mais credores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dívida com menos de 3 meses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acordo anterior quebrado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dívida de banco no Banco Central (SCR)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protesto ou ação de cobrança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5023"/>
            <w:tcBorders>
              <w:top w:val="single" w:color="548235" w:sz="18"/>
              <w:left w:val="none" w:color="FFFFFF" w:sz="0"/>
              <w:bottom w:val="none" w:color="FFFFFF" w:sz="0"/>
              <w:right w:val="none" w:color="FFFFFF" w:sz="0"/>
            </w:tcBorders>
            <w:shd w:fill="E2EFDA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548235"/>
                <w:sz w:val="19"/>
                <w:szCs w:val="19"/>
              </w:rPr>
              <w:t xml:space="preserve">Desce um nível 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 dívida já foi paga, com comprovante, e só falta a baixa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3. Tipo de dívida: fácil ou difícil de limpar?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160"/>
        <w:gridCol w:w="3295"/>
        <w:gridCol w:w="160"/>
        <w:gridCol w:w="3296"/>
      </w:tblGrid>
      <w:tr>
        <w:trPr>
          <w:cantSplit/>
        </w:trPr>
        <w:tc>
          <w:tcPr>
            <w:tcW w:type="dxa" w:w="3295"/>
            <w:tcBorders>
              <w:top w:val="single" w:color="548235" w:sz="18"/>
              <w:left w:val="none" w:color="FFFFFF" w:sz="0"/>
              <w:bottom w:val="none" w:color="FFFFFF" w:sz="0"/>
              <w:right w:val="none" w:color="FFFFFF" w:sz="0"/>
            </w:tcBorders>
            <w:shd w:fill="E2EFDA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548235"/>
                <w:sz w:val="19"/>
                <w:szCs w:val="19"/>
              </w:rPr>
              <w:t xml:space="preserve">FÁCIL · dias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Telefone, internet, TV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Lojas e crediário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Luz e água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Escola e faculdade</w:t>
            </w:r>
          </w:p>
          <w:p>
            <w:p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Pagou, a baixa sai em até 5 dias úteis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5"/>
            <w:tcBorders>
              <w:top w:val="single" w:color="BF9000" w:sz="18"/>
              <w:left w:val="none" w:color="FFFFFF" w:sz="0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BF9000"/>
                <w:sz w:val="19"/>
                <w:szCs w:val="19"/>
              </w:rPr>
              <w:t xml:space="preserve">MÉDIA · semanas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Protesto em cartório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Cheque sem fundo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CPF pendente na Receita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Dívida com o governo federal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Cartão/empréstimo de banco que ainda não virou prejuízo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6"/>
            <w:tcBorders>
              <w:top w:val="single" w:color="C55A11" w:sz="18"/>
              <w:left w:val="none" w:color="FFFFFF" w:sz="0"/>
              <w:bottom w:val="none" w:color="FFFFFF" w:sz="0"/>
              <w:right w:val="none" w:color="FFFFFF" w:sz="0"/>
            </w:tcBorders>
            <w:shd w:fill="FCE4D6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6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C55A11"/>
                <w:sz w:val="19"/>
                <w:szCs w:val="19"/>
              </w:rPr>
              <w:t xml:space="preserve">DIFÍCIL · meses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Dívida de banco que virou prejuízo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Financiamento de carro atrasado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Ação judicial de cobrança</w:t>
            </w:r>
          </w:p>
          <w:p>
            <w:pPr>
              <w:spacing w:after="30" w:before="0" w:line="264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→ Mesmo paga, fica no histórico do banco por 24 meses</w:t>
            </w:r>
          </w:p>
        </w:tc>
      </w:tr>
    </w:tbl>
    <w:p>
      <w:pPr>
        <w:spacing w:after="120"/>
      </w:pP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Cuidado com acordo parcelado: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tira o nome do Serasa na 1ª parcela, mas a parcela passa a comer renda. Acordo quebrado no meio da obra é pior que a dívida original.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4. Não vender: não dá para limpar a tempo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single" w:color="C00000" w:sz="24"/>
              <w:bottom w:val="none" w:color="FFFFFF" w:sz="0"/>
              <w:right w:val="none" w:color="FFFFFF" w:sz="0"/>
            </w:tcBorders>
            <w:shd w:fill="F8CBAD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Qualquer dívida, acordo ou atraso com a própria Caixa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pesa por até 5 anos, mesmo quitada. Só a análise da Caixa (SICAQ) mostra.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Dívida de banco que virou prejuízo nos últimos 12 meses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ainda aparece para a Caixa no dia das chaves.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Já teve financiamento habitacional ou tem imóvel no nome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— regra do programa, não tem solução.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Ação de cobrança ou busca e apreensão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em andamento, sem acordo.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CPF cancelado, suspenso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ou suspeita de documento falso.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Renda que não paga a parcela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, nem com subsídio, FGTS e entrada.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5. Limite de comprometimento da renda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5"/>
        <w:gridCol w:w="160"/>
        <w:gridCol w:w="3295"/>
        <w:gridCol w:w="160"/>
        <w:gridCol w:w="3296"/>
      </w:tblGrid>
      <w:tr>
        <w:trPr>
          <w:cantSplit/>
        </w:trPr>
        <w:tc>
          <w:tcPr>
            <w:tcW w:type="dxa" w:w="3295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2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40"/>
                <w:szCs w:val="40"/>
              </w:rPr>
              <w:t xml:space="preserve">30%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Parcela do financiamento Caixa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5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2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40"/>
                <w:szCs w:val="40"/>
              </w:rPr>
              <w:t xml:space="preserve">25%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Durante a obra: entrada + acordos de dívida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/>
        </w:tc>
        <w:tc>
          <w:tcPr>
            <w:tcW w:type="dxa" w:w="3296"/>
            <w:tcBorders>
              <w:top w:val="single" w:color="2F5597" w:sz="18"/>
              <w:left w:val="none" w:color="FFFFFF" w:sz="0"/>
              <w:bottom w:val="none" w:color="FFFFFF" w:sz="0"/>
              <w:right w:val="none" w:color="FFFFFF" w:sz="0"/>
            </w:tcBorders>
            <w:shd w:fill="DDEBF7" w:color="auto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pPr>
              <w:spacing w:after="2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2F5597"/>
                <w:sz w:val="40"/>
                <w:szCs w:val="40"/>
              </w:rPr>
              <w:t xml:space="preserve">35%</w:t>
            </w:r>
          </w:p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Nas chaves: Caixa + entrada + acordos + empréstimos + cartão. Dívidas de banco acima de 6 rendas: só com comitê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6. A rotina, do atendimento às chaves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5"/>
        <w:gridCol w:w="7961"/>
      </w:tblGrid>
      <w:tr>
        <w:trPr>
          <w:tblHeader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 que fazer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Atendimento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Perguntar: renda e como comprova · já teve imóvel/financiamento · dívidas e com quem · algo com a Caixa. Cliente gera o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(Banco Central) no celular pelo gov.br.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Até 5 dias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 Serasa/SPC + Registrato +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SICAQ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no correspondente Caixa. Classificar pelas seções 1 a 5.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Assinatura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Contrato +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Termo de Responsabilidade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com as dívidas e o prazo de cada uma. Entregar ao cliente o resultado da análise prévia. Assinado em estande ou fora da sede: respeitar os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7 dias de arrependimento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Durante a obra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 restrição: consulta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todo mês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até limpar, depois a cada 3 meses. Sem restrição: a cada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6 meses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. Atraso de mais de 15 dias na entrada: consulta na hora.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Restrição nova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Aviso por escrito →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 dias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→ mais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30 dias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e reunião → comitê decide. Para desfazer o contrato: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notificação judicial ou por cartório (RTD) com 15 dias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 para regularizar.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180 dias antes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 de todos os clientes.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120 dias antes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Nova SICAQ para todos.</w:t>
            </w:r>
          </w:p>
        </w:tc>
      </w:tr>
      <w:tr>
        <w:trPr>
          <w:cantSplit/>
        </w:trPr>
        <w:tc>
          <w:tcPr>
            <w:tcW w:type="dxa" w:w="22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90 dias antes</w:t>
            </w:r>
          </w:p>
        </w:tc>
        <w:tc>
          <w:tcPr>
            <w:tcW w:type="dxa" w:w="7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DEBF7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Quem não vai passar: outro comprador para somar renda, unidade menor, mais entrada/FGTS, cessão ou distrato.</w:t>
            </w:r>
          </w:p>
        </w:tc>
      </w:tr>
    </w:tbl>
    <w:p>
      <w:pPr>
        <w:spacing w:after="120"/>
      </w:pP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7. Quem aprova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93"/>
        <w:gridCol w:w="5613"/>
      </w:tblGrid>
      <w:tr>
        <w:trPr>
          <w:tblHeader/>
        </w:trPr>
        <w:tc>
          <w:tcPr>
            <w:tcW w:type="dxa" w:w="4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Situação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Aprovação</w:t>
            </w:r>
          </w:p>
        </w:tc>
      </w:tr>
      <w:tr>
        <w:trPr>
          <w:cantSplit/>
        </w:trPr>
        <w:tc>
          <w:tcPr>
            <w:tcW w:type="dxa" w:w="4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Sem restrição e SICAQ aprovada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Analista de crédito</w:t>
            </w:r>
          </w:p>
        </w:tc>
      </w:tr>
      <w:tr>
        <w:trPr>
          <w:cantSplit/>
        </w:trPr>
        <w:tc>
          <w:tcPr>
            <w:tcW w:type="dxa" w:w="4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Leve ou moderada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Coordenador de crédito</w:t>
            </w:r>
          </w:p>
        </w:tc>
      </w:tr>
      <w:tr>
        <w:trPr>
          <w:cantSplit/>
        </w:trPr>
        <w:tc>
          <w:tcPr>
            <w:tcW w:type="dxa" w:w="4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Alta (reserva)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Coordenador, e contrato só após nova SICAQ</w:t>
            </w:r>
          </w:p>
        </w:tc>
      </w:tr>
      <w:tr>
        <w:trPr>
          <w:cantSplit/>
        </w:trPr>
        <w:tc>
          <w:tcPr>
            <w:tcW w:type="dxa" w:w="4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Exceção a esta política</w:t>
            </w:r>
          </w:p>
        </w:tc>
        <w:tc>
          <w:tcPr>
            <w:tcW w:type="dxa" w:w="5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20" w:before="0" w:line="264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Comitê (comercial + financeiro + diretoria), por escrito, no máximo 2% das unidades</w:t>
            </w:r>
          </w:p>
        </w:tc>
      </w:tr>
    </w:tbl>
    <w:p>
      <w:pPr>
        <w:spacing w:after="120"/>
      </w:pPr>
    </w:p>
    <w:p>
      <w:pPr>
        <w:spacing w:after="100" w:before="0" w:line="264"/>
        <w:jc w:val="left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Teto da carteira: no máximo 20% das unidades vendidas com Termo em aberto. A classificação é apoio: a decisão é sempre de uma pessoa, e o cliente pode pedir revisão (LGPD, art. 20).</w:t>
      </w:r>
    </w:p>
    <w:p>
      <w:pPr>
        <w:keepNext/>
        <w:pBdr>
          <w:bottom w:val="single" w:color="1F3864" w:sz="8"/>
        </w:pBdr>
        <w:spacing w:after="100" w:before="24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8. Cuidados jurídicos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Valores em reais são ponto de partida: calibrar após 50 repasses.</w:t>
      </w:r>
    </w:p>
    <w:p>
      <w:pPr>
        <w:pStyle w:val="ListParagraph"/>
        <w:numPr>
          <w:ilvl w:val="0"/>
          <w:numId w:val="2"/>
        </w:numPr>
        <w:spacing w:after="50" w:before="0" w:line="264"/>
        <w:jc w:val="left"/>
      </w:pPr>
      <w:r>
        <w:rPr>
          <w:rFonts w:ascii="Arial" w:cs="Arial" w:eastAsia="Arial" w:hAnsi="Arial"/>
          <w:sz w:val="20"/>
          <w:szCs w:val="20"/>
        </w:rPr>
        <w:t xml:space="preserve">Retenção no distrato: 25% sem afetação; até 50% com afetação,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em julgamento no STJ</w:t>
      </w:r>
      <w:r>
        <w:rPr>
          <w:rFonts w:ascii="Arial" w:cs="Arial" w:eastAsia="Arial" w:hAnsi="Arial"/>
          <w:sz w:val="20"/>
          <w:szCs w:val="20"/>
        </w:rPr>
        <w:t xml:space="preserve"> (Temas 1.464 a 1.466) — projetar com 25%.</w:t>
      </w:r>
    </w:p>
    <w:sectPr>
      <w:footerReference w:type="default" r:id="rId7"/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5"/>
        <w:szCs w:val="15"/>
      </w:rPr>
      <w:t xml:space="preserve">Política de Crédito MCMV · v3  ·  página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08080"/>
        <w:sz w:val="15"/>
        <w:szCs w:val="15"/>
      </w:rPr>
      <w:t xml:space="preserve"> de </w:t>
    </w:r>
    <w:r>
      <w:rPr>
        <w:rFonts w:ascii="Arial" w:cs="Arial" w:eastAsia="Arial" w:hAnsi="Arial"/>
        <w:color w:val="808080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2026-09-25T16:27:23.969Z</dcterms:created>
  <dcterms:modified xsi:type="dcterms:W3CDTF">2026-09-25T16:27:23.970Z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