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Parecer de Revisão Jurídica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D9E1F2"/>
                <w:sz w:val="18"/>
                <w:szCs w:val="18"/>
              </w:rPr>
              <w:t xml:space="preserve">Termo de Responsabilidade e Política de Crédito MCMV · direito imobiliário, contratual, do consumidor e de proteção de dados · setembro de 2026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deste documento: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análise técnica preparada com apoio de inteligência artificial a partir de legislação e jurisprudência públicas. Não substitui a opinião de advogado inscrito na OAB, que deve validar o contrato, o quadro-resumo e o Termo antes do uso.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Conclusão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Os documentos são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coerentes e juridicamente plausíveis</w:t>
      </w:r>
      <w:r>
        <w:rPr>
          <w:rFonts w:ascii="Arial" w:cs="Arial" w:eastAsia="Arial" w:hAnsi="Arial"/>
          <w:sz w:val="20"/>
          <w:szCs w:val="20"/>
        </w:rPr>
        <w:t xml:space="preserve">. A política está alinhada ao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dever de crédito responsável</w:t>
      </w:r>
      <w:r>
        <w:rPr>
          <w:rFonts w:ascii="Arial" w:cs="Arial" w:eastAsia="Arial" w:hAnsi="Arial"/>
          <w:sz w:val="20"/>
          <w:szCs w:val="20"/>
        </w:rPr>
        <w:t xml:space="preserve"> do CDC (art. 54-D, incluído pela Lei 14.181/2021), que obriga quem concede crédito — inclusive a entrada parcelada pela própria incorporadora — a avaliar a situação do consumidor, consultando bancos de dados de proteção ao crédito.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A versão anterior do Termo tinha, porém,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três pontos que o tornariam frágil em juízo</w:t>
      </w:r>
      <w:r>
        <w:rPr>
          <w:rFonts w:ascii="Arial" w:cs="Arial" w:eastAsia="Arial" w:hAnsi="Arial"/>
          <w:sz w:val="20"/>
          <w:szCs w:val="20"/>
        </w:rPr>
        <w:t xml:space="preserve"> e seis ajustes importantes. Todos foram corrigidos. A pedido da empresa, o Termo foi depois endurecido na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versão 4</w:t>
      </w:r>
      <w:r>
        <w:rPr>
          <w:rFonts w:ascii="Arial" w:cs="Arial" w:eastAsia="Arial" w:hAnsi="Arial"/>
          <w:sz w:val="20"/>
          <w:szCs w:val="20"/>
        </w:rPr>
        <w:t xml:space="preserve"> (seção 6), fechando as brechas que a defesa de um comprador exploraria, sem incluir cláusulas que um juiz anularia.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Quadro dos achados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"/>
        <w:gridCol w:w="3062"/>
        <w:gridCol w:w="1123"/>
        <w:gridCol w:w="5613"/>
      </w:tblGrid>
      <w:tr>
        <w:trPr>
          <w:tblHeader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 feito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Desfazimento do contrato só com aviso por WhatsApp/e-mail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Desfazimento exige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notificação judicial ou por cartório (RTD)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 dias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para purgar a mora. WhatsApp e e-mail ficam para avisos do dia a dia.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 culpa é minha" em qualquer caso de não financiamento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Separadas as causas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comprador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(lista objetiva) das causas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alheias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(mudança de regra, reprovação sem restrição), com consequências diferentes.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prazo para contratar o financiamento após o habite-se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Campo "Prazo para financiar" no Termo; o prazo deve constar do quadro-resumo (art. 35-A da Lei 4.591/1964).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Proibição de novas dívidas e teto de 35% da renda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Virou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aviso prévio por escrito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com o risco da nova dívida assumido pelo comprador. O teto de 35% fica só na política interna.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LGPD apoiada em "autorizo" (consentimento revogável)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legal trocada para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execução do contrato e proteção do crédito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(LGPD, art. 7º, V e X), com finalidade, prazo e canal do titular.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Retenção de até 50% no distrato apresentada como certa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Divergência entre as Turmas do STJ, com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Temas 1.464 a 1.466 afetados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ao rito repetitivo em jun/2026. Projeções com 25%.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Direito de arrependimento de 7 dias não mencionado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Ressalvado no Termo e incluído na rotina da política (art. 67-A, § 10).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prova de que o cliente foi informado antes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declara ter recebido o resultado da análise prévia (CDC, arts. 6º, III, e 54-D, I).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com sinal na classe "Alta"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Sinal devolvido se o crédito não for aprovado; retenção só de despesas comprovadas.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Pontuação da matriz aplicada de forma automática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final humana e direito de revisão (LGPD, art. 20).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Solidariedade, testemunhas, rubricas, "a vendedora não garante a aprovação"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Mantidos. Solidariedade expressa (CC, art. 265); título executivo com 2 testemunhas ou assinatura eletrônica (CPC, art. 784, III e § 4º).</w:t>
            </w:r>
          </w:p>
        </w:tc>
      </w:tr>
      <w:tr>
        <w:trPr>
          <w:cantSplit/>
        </w:trPr>
        <w:tc>
          <w:tcPr>
            <w:tcW w:type="dxa" w:w="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 a birôs, análise de renda e monitoramento na política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Amparados no CDC, art. 54-D, II, e na LGPD, art. 7º, X.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Pontos de risco alto, explicados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Como desfazer o contrato.</w:t>
      </w:r>
      <w:r>
        <w:rPr>
          <w:rFonts w:ascii="Arial" w:cs="Arial" w:eastAsia="Arial" w:hAnsi="Arial"/>
          <w:sz w:val="20"/>
          <w:szCs w:val="20"/>
        </w:rPr>
        <w:t xml:space="preserve"> Na promessa de compra e venda de imóvel, o Decreto-Lei 745/1969 (art. 1º, com a redação da Lei 13.097/2015) exige que o comprador seja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interpelado judicialmente ou notificado pelo Registro de Títulos e Documentos</w:t>
      </w:r>
      <w:r>
        <w:rPr>
          <w:rFonts w:ascii="Arial" w:cs="Arial" w:eastAsia="Arial" w:hAnsi="Arial"/>
          <w:sz w:val="20"/>
          <w:szCs w:val="20"/>
        </w:rPr>
        <w:t xml:space="preserve">,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15 dias</w:t>
      </w:r>
      <w:r>
        <w:rPr>
          <w:rFonts w:ascii="Arial" w:cs="Arial" w:eastAsia="Arial" w:hAnsi="Arial"/>
          <w:sz w:val="20"/>
          <w:szCs w:val="20"/>
        </w:rPr>
        <w:t xml:space="preserve"> para purgar a mora,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mesmo com cláusula resolutiva expressa</w:t>
      </w:r>
      <w:r>
        <w:rPr>
          <w:rFonts w:ascii="Arial" w:cs="Arial" w:eastAsia="Arial" w:hAnsi="Arial"/>
          <w:sz w:val="20"/>
          <w:szCs w:val="20"/>
        </w:rPr>
        <w:t xml:space="preserve">. Cumprido esse rito, o STJ admite a resolução sem ação judicial (REsp 1.789.863/MS, 4ª Turma, 2021). A notificação por e-mail aceita pela 2ª Seção do STJ em 2025 (REsp 2.183.860/DF) trata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alienação fiduciária</w:t>
      </w:r>
      <w:r>
        <w:rPr>
          <w:rFonts w:ascii="Arial" w:cs="Arial" w:eastAsia="Arial" w:hAnsi="Arial"/>
          <w:sz w:val="20"/>
          <w:szCs w:val="20"/>
        </w:rPr>
        <w:t xml:space="preserve"> e não deve ser estendida ao compromisso de compra e venda sem cautela.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Consequência prática:</w:t>
      </w:r>
      <w:r>
        <w:rPr>
          <w:rFonts w:ascii="Arial" w:cs="Arial" w:eastAsia="Arial" w:hAnsi="Arial"/>
          <w:sz w:val="20"/>
          <w:szCs w:val="20"/>
        </w:rPr>
        <w:t xml:space="preserve"> o aviso por WhatsApp serve para a rotina de crédito, mas o desfazimento precisa do cartório.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A culpa pelo financiamento negado.</w:t>
      </w:r>
      <w:r>
        <w:rPr>
          <w:rFonts w:ascii="Arial" w:cs="Arial" w:eastAsia="Arial" w:hAnsi="Arial"/>
          <w:sz w:val="20"/>
          <w:szCs w:val="20"/>
        </w:rPr>
        <w:t xml:space="preserve"> A jurisprudência é dividida e depende da causa. Quando a Caixa nega por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restrição no nome do comprador</w:t>
      </w:r>
      <w:r>
        <w:rPr>
          <w:rFonts w:ascii="Arial" w:cs="Arial" w:eastAsia="Arial" w:hAnsi="Arial"/>
          <w:sz w:val="20"/>
          <w:szCs w:val="20"/>
        </w:rPr>
        <w:t xml:space="preserve">, os tribunais tendem a ver inadimplemento do comprador, e o TJSP já recusou a devolução integral a quem não provou a negativa nem a sua causa. Quando a negativa decorre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fato alheio às partes</w:t>
      </w:r>
      <w:r>
        <w:rPr>
          <w:rFonts w:ascii="Arial" w:cs="Arial" w:eastAsia="Arial" w:hAnsi="Arial"/>
          <w:sz w:val="20"/>
          <w:szCs w:val="20"/>
        </w:rPr>
        <w:t xml:space="preserve">, ou quando o vendedor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informou</w:t>
      </w:r>
      <w:r>
        <w:rPr>
          <w:rFonts w:ascii="Arial" w:cs="Arial" w:eastAsia="Arial" w:hAnsi="Arial"/>
          <w:sz w:val="20"/>
          <w:szCs w:val="20"/>
        </w:rPr>
        <w:t xml:space="preserve"> os requisitos do financiamento, há decisões que afastam a culpa do comprador e mandam devolver tudo (Súmula 543 do STJ). Uma cláusula que declara a culpa do comprador em qualquer hipótese tende a ser considerada abusiva (CDC, art. 51, IV) e poderia contaminar o Termo inteiro.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Separar as duas hipóteses dá força à primeira.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Prazo para quitar após o habite-se.</w:t>
      </w:r>
      <w:r>
        <w:rPr>
          <w:rFonts w:ascii="Arial" w:cs="Arial" w:eastAsia="Arial" w:hAnsi="Arial"/>
          <w:sz w:val="20"/>
          <w:szCs w:val="20"/>
        </w:rPr>
        <w:t xml:space="preserve"> O art. 35-A da Lei 4.591/1964 exige que o quadro-resumo traga, entre outros itens,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prazo para o comprador quitar suas obrigações após o auto de conclusão da obra</w:t>
      </w:r>
      <w:r>
        <w:rPr>
          <w:rFonts w:ascii="Arial" w:cs="Arial" w:eastAsia="Arial" w:hAnsi="Arial"/>
          <w:sz w:val="20"/>
          <w:szCs w:val="20"/>
        </w:rPr>
        <w:t xml:space="preserve"> 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consequências do desfazimento, com as penalidades em negrito</w:t>
      </w:r>
      <w:r>
        <w:rPr>
          <w:rFonts w:ascii="Arial" w:cs="Arial" w:eastAsia="Arial" w:hAnsi="Arial"/>
          <w:sz w:val="20"/>
          <w:szCs w:val="20"/>
        </w:rPr>
        <w:t xml:space="preserve">. Sem esse prazo, não há como caracterizar o atraso no pagamento do saldo, que é o fato que efetivamente permite o desfazimento. As obrigações do Termo funcionam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prova da causa</w:t>
      </w:r>
      <w:r>
        <w:rPr>
          <w:rFonts w:ascii="Arial" w:cs="Arial" w:eastAsia="Arial" w:hAnsi="Arial"/>
          <w:sz w:val="20"/>
          <w:szCs w:val="20"/>
        </w:rPr>
        <w:t xml:space="preserve"> desse atraso.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Pontos de atenção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Perda de emprego do comprador:</w:t>
      </w:r>
      <w:r>
        <w:rPr>
          <w:rFonts w:ascii="Arial" w:cs="Arial" w:eastAsia="Arial" w:hAnsi="Arial"/>
          <w:sz w:val="20"/>
          <w:szCs w:val="20"/>
        </w:rPr>
        <w:t xml:space="preserve"> não está listada como culpa nem como fato alheio. Os tribunais tendem a ser sensíveis a esse caso. Recomendação: tratar como hipótese de soluções do item 5 e, sem solução, distrato com a retenção do quadro-resumo, sem multa adicional.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Decisão do jurídico.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Retenção e prazos de devolução:</w:t>
      </w:r>
      <w:r>
        <w:rPr>
          <w:rFonts w:ascii="Arial" w:cs="Arial" w:eastAsia="Arial" w:hAnsi="Arial"/>
          <w:sz w:val="20"/>
          <w:szCs w:val="20"/>
        </w:rPr>
        <w:t xml:space="preserve"> a Lei 13.786/2018 fixa 25% (ou até 50% com patrimônio de afetação) e a devolução em 180 dias, ou 30 dias após o habite-se com afetação. O TJSP (Súmulas 1, 2 e 3) e o STJ (Súmula 543) exigem devolução em parcela única. Para contratos posteriores a 2018, prevalecem os prazos da lei, mas o percentual de 50% pode cair até o julgamento dos Temas 1.464 a 1.466.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Corretagem:</w:t>
      </w:r>
      <w:r>
        <w:rPr>
          <w:rFonts w:ascii="Arial" w:cs="Arial" w:eastAsia="Arial" w:hAnsi="Arial"/>
          <w:sz w:val="20"/>
          <w:szCs w:val="20"/>
        </w:rPr>
        <w:t xml:space="preserve"> só pode ser cobrada do comprador ou retida no distrato se informada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</w:t>
      </w:r>
      <w:r>
        <w:rPr>
          <w:rFonts w:ascii="Arial" w:cs="Arial" w:eastAsia="Arial" w:hAnsi="Arial"/>
          <w:sz w:val="20"/>
          <w:szCs w:val="20"/>
        </w:rPr>
        <w:t xml:space="preserve">, com o valor destacado do preço (Tema 938 do STJ).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Foro:</w:t>
      </w:r>
      <w:r>
        <w:rPr>
          <w:rFonts w:ascii="Arial" w:cs="Arial" w:eastAsia="Arial" w:hAnsi="Arial"/>
          <w:sz w:val="20"/>
          <w:szCs w:val="20"/>
        </w:rPr>
        <w:t xml:space="preserve"> em contrato de adesão com consumidor, vale o domicílio do comprador (CDC, art. 101, I). Não prever foro diferente.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Baixa das restrições:</w:t>
      </w:r>
      <w:r>
        <w:rPr>
          <w:rFonts w:ascii="Arial" w:cs="Arial" w:eastAsia="Arial" w:hAnsi="Arial"/>
          <w:sz w:val="20"/>
          <w:szCs w:val="20"/>
        </w:rPr>
        <w:t xml:space="preserve"> o credor tem 5 dias úteis após o pagamento para dar baixa (Súmula 548 do STJ). Os prazos de 60 e 90 dias da política são folgados e razoáveis.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Checklist para o contrato principal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Quadro-resumo completo (art. 35-A),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 duas hipóteses de financiamento não aprovado</w:t>
      </w:r>
      <w:r>
        <w:rPr>
          <w:rFonts w:ascii="Arial" w:cs="Arial" w:eastAsia="Arial" w:hAnsi="Arial"/>
          <w:sz w:val="20"/>
          <w:szCs w:val="20"/>
        </w:rPr>
        <w:t xml:space="preserve"> (com e sem culpa) e as penalidades em negrito.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Prazo para contratar o financiamento após o habite-se.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Cláusula que incorpora o Termo como anexo e parte do contrato.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Cláusula resolutiva expressa + rito do Decreto-Lei 745/1969 (notificação judicial ou por RTD, 15 dias).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Patrimônio de afetação averbado na matrícula e cláusula de retenção destacada, ciente da divergência no STJ.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Corretagem destacada no preço (Tema 938).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Direito de arrependimento de 7 dias para vendas em estande ou fora da sede (art. 67-A, § 10).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Prazos de devolução do art. 67-A, §§ 5º e 6º.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Foro do domicílio do comprador.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Termo v4: brechas fechadas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rPr>
          <w:tblHeader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Brecha que o comprador poderia usar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 v4 fecha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"O financiamento era condição do negócio; se não saiu, devolvam tudo."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1: o financiamento é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meio de pagamento escolhido pelo comprador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e a aprovação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é condição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do contrato. O saldo é devido de qualquer forma.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"Ninguém me explicou os requisitos." (argumento que mais leva a devolução integral)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2: cada ponto explicado tem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rubrica própria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incluindo o resultado e o valor da análise prévia.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"A Caixa aprovou menos / o subsídio caiu, então não consigo pagar."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1.3: diferença de valor ou de subsídio é paga pelo comprador no mesmo prazo.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"Fui reprovado sem ter restrição, não tenho culpa."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7: reprovação por renda, cadastro, análise de risco, documentação ou enquadramento entra nos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motivos ligados ao comprador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Só ficam fora problemas da vendedora/imóvel e mudança de lei posterior.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"Perdi o emprego."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7: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perda ou redução de renda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é motivo ligado ao comprador, com as deduções do quadro-resumo.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Enrolar com prazos sucessivos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6: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 único prazo de 30 dias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(15 perto das chaves); nova chance só se a vendedora quiser.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"Não recebi o aviso."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4.8: avisos aos contatos do Termo contam como recebidos; o desfazimento usa notificação formal, que tem prova própria.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comparecer para assinar o financiamento ou não entregar documentos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4.7: prazos de 5 dias úteis e 10 dias; faltar sem justificativa é descumprimento.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"A restrição era do outro comprador."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Cabeçalho: solidariedade e restrição 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qualquer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comprador vale para ambos.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Pedir as chaves antes de pagar o saldo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1.5: chaves só após assinatura do financiamento ou pagamento.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Revogar a autorização de consulta (LGPD)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5: base legal de contrato e proteção do crédito, sem consentimento revogável; autorização expressa de consulta ao SCR.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Anular o Termo inteiro por uma cláusula abusiva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Cláusula de conservação: se uma cláusula cair, as outras continuam.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Limites: o que não entrou, e por quê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Estas cláusulas parecem mais "duras", mas seriam anuladas pelo Judiciário e dariam argumento para questionar o Termo inteiro: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Proibir o cliente de fazer qualquer dívida:</w:t>
      </w:r>
      <w:r>
        <w:rPr>
          <w:rFonts w:ascii="Arial" w:cs="Arial" w:eastAsia="Arial" w:hAnsi="Arial"/>
          <w:sz w:val="20"/>
          <w:szCs w:val="20"/>
        </w:rPr>
        <w:t xml:space="preserve"> interfere na vida financeira do consumidor além do necessário (CDC, art. 51, IV). A v4 exige aviso prévio e transfere o risco — mesmo efeito prático, sem nulidade.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Reter 100% ou mais que o quadro-resumo:</w:t>
      </w:r>
      <w:r>
        <w:rPr>
          <w:rFonts w:ascii="Arial" w:cs="Arial" w:eastAsia="Arial" w:hAnsi="Arial"/>
          <w:sz w:val="20"/>
          <w:szCs w:val="20"/>
        </w:rPr>
        <w:t xml:space="preserve"> a Lei 13.786/2018 limita a 25% (até 50% com afetação, em discussão no STJ). Multa extra no Termo seria cobrança em duplicidade.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Desfazer o contrato só com aviso por WhatsApp:</w:t>
      </w:r>
      <w:r>
        <w:rPr>
          <w:rFonts w:ascii="Arial" w:cs="Arial" w:eastAsia="Arial" w:hAnsi="Arial"/>
          <w:sz w:val="20"/>
          <w:szCs w:val="20"/>
        </w:rPr>
        <w:t xml:space="preserve"> a lei exige notificação judicial ou por cartório com 15 dias (Decreto-Lei 745/1969).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Renunciar ao arrependimento de 7 dias:</w:t>
      </w:r>
      <w:r>
        <w:rPr>
          <w:rFonts w:ascii="Arial" w:cs="Arial" w:eastAsia="Arial" w:hAnsi="Arial"/>
          <w:sz w:val="20"/>
          <w:szCs w:val="20"/>
        </w:rPr>
        <w:t xml:space="preserve"> direito legal irrenunciável (art. 67-A, § 10).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Cobrar condomínio e IPTU antes das chaves:</w:t>
      </w:r>
      <w:r>
        <w:rPr>
          <w:rFonts w:ascii="Arial" w:cs="Arial" w:eastAsia="Arial" w:hAnsi="Arial"/>
          <w:sz w:val="20"/>
          <w:szCs w:val="20"/>
        </w:rPr>
        <w:t xml:space="preserve"> a jurisprudência atribui esses encargos a quem tem a posse.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Foro em outra cidade:</w:t>
      </w:r>
      <w:r>
        <w:rPr>
          <w:rFonts w:ascii="Arial" w:cs="Arial" w:eastAsia="Arial" w:hAnsi="Arial"/>
          <w:sz w:val="20"/>
          <w:szCs w:val="20"/>
        </w:rPr>
        <w:t xml:space="preserve"> em contrato de adesão vale o domicílio do consumidor (CDC, art. 101, I).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Linguagem ambígua:</w:t>
      </w:r>
      <w:r>
        <w:rPr>
          <w:rFonts w:ascii="Arial" w:cs="Arial" w:eastAsia="Arial" w:hAnsi="Arial"/>
          <w:sz w:val="20"/>
          <w:szCs w:val="20"/>
        </w:rPr>
        <w:t xml:space="preserve"> no CDC, a dúvida é resolvida a favor do consumidor (art. 47). Por isso a v4 usa listas fechadas e prazos em números.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Normas e jurisprudência consultadas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7144"/>
      </w:tblGrid>
      <w:tr>
        <w:trPr>
          <w:tblHeader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diz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Decreto-Lei 745/1969, art. 1º (Lei 13.097/2015)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 do promitente comprador exige interpelação judicial ou notificação via RTD, com 15 dias para purgar, mesmo com cláusula resolutiva expressa.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REsp 1.789.863/MS (4ª T., 2021)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cláusula resolutiva expressa e mora constituída, a resolução dispensa ação judicial.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REsp 2.183.860/DF (2ª Seção, 2025)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por e-mail válida para constituir em mora o devedor fiduciante (alienação fiduciária).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Lei 4.591/1964, arts. 35-A e 67-A (Lei 13.786/2018)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Quadro-resumo obrigatório; retenção de 25% ou até 50% com afetação; arrependimento em 7 dias; prazos de devolução.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retenção de 50%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4ª Turma valida com afetação e previsão expressa (jun/2026); 3ª Turma com decisões limitando a 25% em relação de consumo (jan/2026); Temas 1.464 a 1.466 afetados (jun/2026).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Súmula 543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Resolução sob o CDC: devolução imediata; integral se a culpa for do vendedor, parcial se for do comprador.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Súmula 548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Credor deve dar baixa da negativação em 5 dias úteis após o pagamento.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STJ, Temas 938 e 1.002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Corretagem transferível se informada previamente e destacada; juros de mora no distrato pedido pelo comprador (contratos anteriores à Lei 13.786).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TJSP, Súmulas 1, 2 e 3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Comprador inadimplente pode pedir a rescisão; devolução em parcela única; retorno ao estado anterior.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TJSP, financiamento negado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Negativa por restrição do comprador tende a caracterizar culpa dele; negativa por fato alheio ou falta de informação do vendedor afasta a culpa.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CDC, arts. 6º III, 51 IV, 54 § 4º, 54-D e 101 I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Informação clara; nulidade de cláusulas iníquas; destaque das cláusulas limitativas; crédito responsável; foro do consumidor.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LGPD, arts. 7º V e X, 8º § 5º, 9º, 18 e 20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Bases legais de contrato e proteção do crédito; consentimento revogável; transparência; direitos do titular; revisão de decisões automatizadas.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CC, arts. 265, 397, 417 a 420 e 474; CPC, art. 784</w:t>
            </w:r>
          </w:p>
        </w:tc>
        <w:tc>
          <w:tcPr>
            <w:tcW w:type="dxa" w:w="7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Solidariedade expressa; mora; arras; cláusula resolutiva expressa; título executivo.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Fontes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Planalto — Decreto-Lei 745/1969 (planalto.gov.br/ccivil_03/decreto-lei/1965-1988/del0745.htm) · Planalto — Lei 13.786/2018 (planalto.gov.br/ccivil_03/_ato2015-2018/2018/lei/l13786.htm) · STJ — Notícia REsp 1.789.863 (stj.jus.br, 24/08/2021) · STJ — Notificação extrajudicial por e-mail, Segunda Seção (stj.jus.br, 25/06/2025) · Conjur — Em relação de consumo, retenção limitada a 25% (23/01/2026) · Queiroz Cavalcanti — 4ª Turma reafirma retenção de 50% (2026) · TJMG — Tema 1.466 STJ · ANOREG/BR — STJ valida retenção de até 50% · Conjur — Financiamento negado não justifica quebra de contrato (21/02/2017) · Jusbrasil — Financiamento negado e distrato · TJSP — Súmulas da Seção de Direito Privado · STJ — Tema 938 (TJRO/NUGEPNAC) · TJDFT — Tema 1.002 · LegJur — CDC, art. 54-D · Roncato Advogados — Análise de crédito e LGPD · Buscador Dizer o Direito — Súmula 548.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Parecer de Revisão Jurídica · Termo e Política de Crédito MCMV · set/2026  ·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2026-09-25T16:44:02.755Z</dcterms:created>
  <dcterms:modified xsi:type="dcterms:W3CDTF">2026-09-25T16:44:02.755Z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