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drawing>
          <wp:inline distT="0" distB="0" distL="0" distR="0">
            <wp:extent cx="1809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2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MÉTODO DALETH · 02 · MODELAR</w:t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082538"/>
          <w:sz w:val="72"/>
          <w:szCs w:val="72"/>
        </w:rPr>
        <w:t xml:space="preserve">Modelagem do empreendimento</w:t>
      </w:r>
    </w:p>
    <w:p>
      <w:pPr>
        <w:spacing w:after="160" w:line="300"/>
      </w:pPr>
      <w:r>
        <w:rPr>
          <w:rFonts w:ascii="Arial" w:cs="Arial" w:eastAsia="Arial" w:hAnsi="Arial"/>
          <w:color w:val="2C3E4E"/>
          <w:sz w:val="24"/>
          <w:szCs w:val="24"/>
        </w:rPr>
        <w:t xml:space="preserve">Dez frentes, uma decisão. Mudar uma muda as outras. Por isso modelamos antes de escolher.</w:t>
      </w:r>
    </w:p>
    <w:p>
      <w:pPr>
        <w:pBdr>
          <w:top w:val="single" w:color="B58A44" w:sz="12" w:space="8"/>
        </w:pBdr>
        <w:spacing w:before="600"/>
      </w:pPr>
      <w:r>
        <w:rPr>
          <w:rFonts w:ascii="Arial" w:cs="Arial" w:eastAsia="Arial" w:hAnsi="Arial"/>
          <w:color w:val="47586A"/>
          <w:spacing w:val="40"/>
          <w:sz w:val="15"/>
          <w:szCs w:val="15"/>
        </w:rPr>
        <w:t xml:space="preserve">ESTRUTURAÇÃO DE NEGÓCIOS IMOBILIÁRIOS · BELO HORIZONTE · ATUAÇÃO NACIONAL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O SEGUNDO MOVIMENTO DO MÉTODO</w:t>
      </w:r>
    </w:p>
    <w:p>
      <w:pPr>
        <w:pStyle w:val="Heading1"/>
        <w:spacing w:after="240" w:before="80"/>
      </w:pPr>
      <w:r>
        <w:rPr>
          <w:rFonts w:ascii="Georgia" w:cs="Georgia" w:eastAsia="Georgia" w:hAnsi="Georgia"/>
          <w:b/>
          <w:bCs/>
          <w:color w:val="082538"/>
          <w:sz w:val="40"/>
          <w:szCs w:val="40"/>
        </w:rPr>
        <w:t xml:space="preserve">Modelar é colocar os caminhos lado a lado, com premissas escritas, antes de comprometer capital.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7D8D9B"/>
                <w:spacing w:val="30"/>
                <w:sz w:val="14"/>
                <w:szCs w:val="14"/>
              </w:rPr>
              <w:t xml:space="preserve">01</w:t>
            </w:r>
          </w:p>
          <w:p>
            <w:r>
              <w:rPr>
                <w:rFonts w:ascii="Georgia" w:cs="Georgia" w:eastAsia="Georgia" w:hAnsi="Georgia"/>
                <w:b/>
                <w:bCs/>
                <w:color w:val="082538"/>
                <w:sz w:val="24"/>
                <w:szCs w:val="24"/>
              </w:rPr>
              <w:t xml:space="preserve">Mapear</w:t>
            </w:r>
          </w:p>
          <w:p>
            <w:r>
              <w:rPr>
                <w:rFonts w:ascii="Arial" w:cs="Arial" w:eastAsia="Arial" w:hAnsi="Arial"/>
                <w:color w:val="47586A"/>
                <w:sz w:val="17"/>
                <w:szCs w:val="17"/>
              </w:rPr>
              <w:t xml:space="preserve">para compreender</w:t>
            </w:r>
          </w:p>
        </w:tc>
        <w:tc>
          <w:tcPr>
            <w:tcW w:type="dxa" w:w="2409"/>
            <w:tcBorders>
              <w:top w:val="single" w:color="B58A4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7D8D9B"/>
                <w:spacing w:val="30"/>
                <w:sz w:val="14"/>
                <w:szCs w:val="14"/>
              </w:rPr>
              <w:t xml:space="preserve">02</w:t>
            </w:r>
          </w:p>
          <w:p>
            <w:r>
              <w:rPr>
                <w:rFonts w:ascii="Georgia" w:cs="Georgia" w:eastAsia="Georgia" w:hAnsi="Georgia"/>
                <w:b/>
                <w:bCs/>
                <w:color w:val="7A5A28"/>
                <w:sz w:val="24"/>
                <w:szCs w:val="24"/>
              </w:rPr>
              <w:t xml:space="preserve">Modelar</w:t>
            </w:r>
          </w:p>
          <w:p>
            <w:r>
              <w:rPr>
                <w:rFonts w:ascii="Arial" w:cs="Arial" w:eastAsia="Arial" w:hAnsi="Arial"/>
                <w:color w:val="47586A"/>
                <w:sz w:val="17"/>
                <w:szCs w:val="17"/>
              </w:rPr>
              <w:t xml:space="preserve">para enxergar</w:t>
            </w:r>
          </w:p>
        </w:tc>
        <w:tc>
          <w:tcPr>
            <w:tcW w:type="dxa" w:w="240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7D8D9B"/>
                <w:spacing w:val="30"/>
                <w:sz w:val="14"/>
                <w:szCs w:val="14"/>
              </w:rPr>
              <w:t xml:space="preserve">03</w:t>
            </w:r>
          </w:p>
          <w:p>
            <w:r>
              <w:rPr>
                <w:rFonts w:ascii="Georgia" w:cs="Georgia" w:eastAsia="Georgia" w:hAnsi="Georgia"/>
                <w:b/>
                <w:bCs/>
                <w:color w:val="082538"/>
                <w:sz w:val="24"/>
                <w:szCs w:val="24"/>
              </w:rPr>
              <w:t xml:space="preserve">Estruturar</w:t>
            </w:r>
          </w:p>
          <w:p>
            <w:r>
              <w:rPr>
                <w:rFonts w:ascii="Arial" w:cs="Arial" w:eastAsia="Arial" w:hAnsi="Arial"/>
                <w:color w:val="47586A"/>
                <w:sz w:val="17"/>
                <w:szCs w:val="17"/>
              </w:rPr>
              <w:t xml:space="preserve">para tornar executável</w:t>
            </w:r>
          </w:p>
        </w:tc>
        <w:tc>
          <w:tcPr>
            <w:tcW w:type="dxa" w:w="240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7D8D9B"/>
                <w:spacing w:val="30"/>
                <w:sz w:val="14"/>
                <w:szCs w:val="14"/>
              </w:rPr>
              <w:t xml:space="preserve">04</w:t>
            </w:r>
          </w:p>
          <w:p>
            <w:r>
              <w:rPr>
                <w:rFonts w:ascii="Georgia" w:cs="Georgia" w:eastAsia="Georgia" w:hAnsi="Georgia"/>
                <w:b/>
                <w:bCs/>
                <w:color w:val="082538"/>
                <w:sz w:val="24"/>
                <w:szCs w:val="24"/>
              </w:rPr>
              <w:t xml:space="preserve">Conduzir</w:t>
            </w:r>
          </w:p>
          <w:p>
            <w:r>
              <w:rPr>
                <w:rFonts w:ascii="Arial" w:cs="Arial" w:eastAsia="Arial" w:hAnsi="Arial"/>
                <w:color w:val="47586A"/>
                <w:sz w:val="17"/>
                <w:szCs w:val="17"/>
              </w:rPr>
              <w:t xml:space="preserve">para funcionar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rPr>
          <w:rFonts w:ascii="Arial" w:cs="Arial" w:eastAsia="Arial" w:hAnsi="Arial"/>
          <w:color w:val="2C3E4E"/>
          <w:sz w:val="24"/>
          <w:szCs w:val="24"/>
        </w:rPr>
        <w:t xml:space="preserve">Mapeamos para compreender, modelamos para enxergar, estruturamos para tornar executável, conduzimos para funcionar. Modelar é o movimento que muda o resultado: é quando o empreendimento ainda cabe inteiro numa planilha e qualquer decisão custa pouco para ser revista.</w:t>
      </w:r>
    </w:p>
    <w:p>
      <w:pPr>
        <w:pStyle w:val="Heading2"/>
        <w:spacing w:after="120" w:before="320"/>
      </w:pPr>
      <w:r>
        <w:rPr>
          <w:rFonts w:ascii="Georgia" w:cs="Georgia" w:eastAsia="Georgia" w:hAnsi="Georgia"/>
          <w:b/>
          <w:bCs/>
          <w:color w:val="082538"/>
          <w:sz w:val="28"/>
          <w:szCs w:val="28"/>
        </w:rPr>
        <w:t xml:space="preserve">O mesmo terreno gera negócios diferentes</w:t>
      </w:r>
    </w:p>
    <w:p>
      <w:pPr>
        <w:spacing w:after="160" w:line="300"/>
      </w:pPr>
      <w:r>
        <w:rPr>
          <w:rFonts w:ascii="Arial" w:cs="Arial" w:eastAsia="Arial" w:hAnsi="Arial"/>
          <w:color w:val="1B2A36"/>
          <w:sz w:val="21"/>
          <w:szCs w:val="21"/>
        </w:rPr>
        <w:t xml:space="preserve">Vender, permutar ou incorporar. Uma torre ou duas fases. SPE ou SCP. Crédito de obra ou investidor. Cada escolha move as outras, e todas aparecem no caixa. Comparamos os caminhos pelos mesmos critérios antes de escolher um.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single" w:color="B58A44" w:sz="18"/>
              <w:bottom w:val="none" w:color="FFFFFF" w:sz="0"/>
              <w:right w:val="none" w:color="FFFFFF" w:sz="0"/>
            </w:tcBorders>
            <w:shd w:fill="F2F5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6"/>
                <w:szCs w:val="26"/>
              </w:rPr>
              <w:t xml:space="preserve">Vender</w:t>
            </w:r>
          </w:p>
          <w:p>
            <w:pPr>
              <w:spacing w:after="60" w:line="300"/>
            </w:pPr>
            <w:r>
              <w:rPr>
                <w:rFonts w:ascii="Arial" w:cs="Arial" w:eastAsia="Arial" w:hAnsi="Arial"/>
                <w:color w:val="1B2A36"/>
                <w:sz w:val="18"/>
                <w:szCs w:val="18"/>
              </w:rPr>
              <w:t xml:space="preserve">Recebe à vista e sai no primeiro dia.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Menor risco. Menor captura de valor.</w:t>
            </w:r>
          </w:p>
        </w:tc>
        <w:tc>
          <w:tcPr>
            <w:tcW w:type="dxa" w:w="3212"/>
            <w:tcBorders>
              <w:top w:val="none" w:color="FFFFFF" w:sz="0"/>
              <w:left w:val="single" w:color="B58A44" w:sz="18"/>
              <w:bottom w:val="none" w:color="FFFFFF" w:sz="0"/>
              <w:right w:val="none" w:color="FFFFFF" w:sz="0"/>
            </w:tcBorders>
            <w:shd w:fill="F2F5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6"/>
                <w:szCs w:val="26"/>
              </w:rPr>
              <w:t xml:space="preserve">Permutar</w:t>
            </w:r>
          </w:p>
          <w:p>
            <w:pPr>
              <w:spacing w:after="60" w:line="300"/>
            </w:pPr>
            <w:r>
              <w:rPr>
                <w:rFonts w:ascii="Arial" w:cs="Arial" w:eastAsia="Arial" w:hAnsi="Arial"/>
                <w:color w:val="1B2A36"/>
                <w:sz w:val="18"/>
                <w:szCs w:val="18"/>
              </w:rPr>
              <w:t xml:space="preserve">Recebe unidades no lugar do preço.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Assume risco de obra e de vendas. Caixa preservado.</w:t>
            </w:r>
          </w:p>
        </w:tc>
        <w:tc>
          <w:tcPr>
            <w:tcW w:type="dxa" w:w="3212"/>
            <w:tcBorders>
              <w:top w:val="none" w:color="FFFFFF" w:sz="0"/>
              <w:left w:val="single" w:color="B58A44" w:sz="18"/>
              <w:bottom w:val="none" w:color="FFFFFF" w:sz="0"/>
              <w:right w:val="none" w:color="FFFFFF" w:sz="0"/>
            </w:tcBorders>
            <w:shd w:fill="F2F5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6"/>
                <w:szCs w:val="26"/>
              </w:rPr>
              <w:t xml:space="preserve">Incorporar</w:t>
            </w:r>
          </w:p>
          <w:p>
            <w:pPr>
              <w:spacing w:after="60" w:line="300"/>
            </w:pPr>
            <w:r>
              <w:rPr>
                <w:rFonts w:ascii="Arial" w:cs="Arial" w:eastAsia="Arial" w:hAnsi="Arial"/>
                <w:color w:val="1B2A36"/>
                <w:sz w:val="18"/>
                <w:szCs w:val="18"/>
              </w:rPr>
              <w:t xml:space="preserve">Assume o empreendimento inteiro.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Maior captura de valor. Maior exposição.</w:t>
            </w:r>
          </w:p>
        </w:tc>
      </w:tr>
    </w:tbl>
    <w:p>
      <w:pPr>
        <w:pStyle w:val="Heading2"/>
        <w:spacing w:after="120" w:before="320"/>
      </w:pPr>
      <w:r>
        <w:rPr>
          <w:rFonts w:ascii="Georgia" w:cs="Georgia" w:eastAsia="Georgia" w:hAnsi="Georgia"/>
          <w:b/>
          <w:bCs/>
          <w:color w:val="082538"/>
          <w:sz w:val="28"/>
          <w:szCs w:val="28"/>
        </w:rPr>
        <w:t xml:space="preserve">Cada decisão muda a seguinte</w:t>
      </w:r>
    </w:p>
    <w:p>
      <w:pPr>
        <w:spacing w:after="160" w:before="120"/>
      </w:pP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PRODUTO</w:t>
      </w:r>
      <w:r>
        <w:rPr>
          <w:rFonts w:ascii="Arial" w:cs="Arial" w:eastAsia="Arial" w:hAnsi="Arial"/>
          <w:color w:val="B58A44"/>
          <w:sz w:val="20"/>
          <w:szCs w:val="20"/>
        </w:rPr>
        <w:t xml:space="preserve">   →   </w:t>
      </w: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ORÇAMENTO</w:t>
      </w:r>
      <w:r>
        <w:rPr>
          <w:rFonts w:ascii="Arial" w:cs="Arial" w:eastAsia="Arial" w:hAnsi="Arial"/>
          <w:color w:val="B58A44"/>
          <w:sz w:val="20"/>
          <w:szCs w:val="20"/>
        </w:rPr>
        <w:t xml:space="preserve">   →   </w:t>
      </w: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CAIXA</w:t>
      </w:r>
      <w:r>
        <w:rPr>
          <w:rFonts w:ascii="Arial" w:cs="Arial" w:eastAsia="Arial" w:hAnsi="Arial"/>
          <w:color w:val="B58A44"/>
          <w:sz w:val="20"/>
          <w:szCs w:val="20"/>
        </w:rPr>
        <w:t xml:space="preserve">   →   </w:t>
      </w: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CAPITAL</w:t>
      </w:r>
      <w:r>
        <w:rPr>
          <w:rFonts w:ascii="Arial" w:cs="Arial" w:eastAsia="Arial" w:hAnsi="Arial"/>
          <w:color w:val="B58A44"/>
          <w:sz w:val="20"/>
          <w:szCs w:val="20"/>
        </w:rPr>
        <w:t xml:space="preserve">   →   </w:t>
      </w: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CRONOGRAMA</w:t>
      </w:r>
      <w:r>
        <w:rPr>
          <w:rFonts w:ascii="Arial" w:cs="Arial" w:eastAsia="Arial" w:hAnsi="Arial"/>
          <w:color w:val="B58A44"/>
          <w:sz w:val="20"/>
          <w:szCs w:val="20"/>
        </w:rPr>
        <w:t xml:space="preserve">   →   </w:t>
      </w:r>
      <w:r>
        <w:rPr>
          <w:rFonts w:ascii="Arial" w:cs="Arial" w:eastAsia="Arial" w:hAnsi="Arial"/>
          <w:b/>
          <w:bCs/>
          <w:color w:val="082538"/>
          <w:spacing w:val="20"/>
          <w:sz w:val="17"/>
          <w:szCs w:val="17"/>
        </w:rPr>
        <w:t xml:space="preserve">VENDAS</w:t>
      </w:r>
    </w:p>
    <w:p>
      <w:pPr>
        <w:spacing w:after="160" w:line="300"/>
      </w:pPr>
      <w:r>
        <w:rPr>
          <w:rFonts w:ascii="Arial" w:cs="Arial" w:eastAsia="Arial" w:hAnsi="Arial"/>
          <w:color w:val="47586A"/>
          <w:sz w:val="19"/>
          <w:szCs w:val="19"/>
        </w:rPr>
        <w:t xml:space="preserve">O produto define o orçamento. O orçamento define o caixa. O caixa define o capital necessário, que define o cronograma, que define as vendas. Modelar é enxergar essa cadeia antes que ela aconteça.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TUDO CONECTADO</w:t>
      </w:r>
    </w:p>
    <w:p>
      <w:pPr>
        <w:pStyle w:val="Heading1"/>
        <w:spacing w:after="240" w:before="80"/>
      </w:pPr>
      <w:r>
        <w:rPr>
          <w:rFonts w:ascii="Georgia" w:cs="Georgia" w:eastAsia="Georgia" w:hAnsi="Georgia"/>
          <w:b/>
          <w:bCs/>
          <w:color w:val="082538"/>
          <w:sz w:val="40"/>
          <w:szCs w:val="40"/>
        </w:rPr>
        <w:t xml:space="preserve">Um empreendimento se decide em dez frentes ao mesmo tempo.</w:t>
      </w: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Georgia" w:cs="Georgia" w:eastAsia="Georgia" w:hAnsi="Georgia"/>
          <w:b/>
          <w:bCs/>
          <w:color w:val="082538"/>
          <w:sz w:val="28"/>
          <w:szCs w:val="28"/>
        </w:rPr>
        <w:t xml:space="preserve">Como ler a imagem</w:t>
      </w:r>
    </w:p>
    <w:p>
      <w:pPr>
        <w:spacing w:after="160" w:line="300"/>
      </w:pPr>
      <w:r>
        <w:rPr>
          <w:rFonts w:ascii="Arial" w:cs="Arial" w:eastAsia="Arial" w:hAnsi="Arial"/>
          <w:color w:val="1B2A36"/>
          <w:sz w:val="21"/>
          <w:szCs w:val="21"/>
        </w:rPr>
        <w:t xml:space="preserve">No centro, o empreendimento. Em volta, uma rede: cada ponto é uma decisão, cada linha é uma consequência. Nenhuma frente está isolada. Puxar uma delas desloca as vizinhas, e o efeito chega ao caixa.</w:t>
      </w:r>
    </w:p>
    <w:p>
      <w:pPr>
        <w:spacing w:after="160" w:line="300"/>
      </w:pPr>
      <w:r>
        <w:rPr>
          <w:rFonts w:ascii="Arial" w:cs="Arial" w:eastAsia="Arial" w:hAnsi="Arial"/>
          <w:color w:val="1B2A36"/>
          <w:sz w:val="21"/>
          <w:szCs w:val="21"/>
        </w:rPr>
        <w:t xml:space="preserve">Nas páginas seguintes, a rede troca de palavras a cada frente: as decisões que ela carrega e as outras frentes que ela move.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AS DEZ FRENTES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01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Terreno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06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Tributário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02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Produto e mercado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07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Econômico-financeiro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03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Técnica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08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Capital e funding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04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Jurídico e regulatório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09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Comercialização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05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Societário e governança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6"/>
                <w:szCs w:val="16"/>
              </w:rPr>
              <w:t xml:space="preserve">10   </w:t>
            </w:r>
            <w:r>
              <w:rPr>
                <w:rFonts w:ascii="Arial" w:cs="Arial" w:eastAsia="Arial" w:hAnsi="Arial"/>
                <w:color w:val="082538"/>
                <w:sz w:val="20"/>
                <w:szCs w:val="20"/>
              </w:rPr>
              <w:t xml:space="preserve">Risco e retorno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01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Terreno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o terreno é definir a base jurídica, econômica e negocial sobre a qual todo o empreendimento será construído.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A forma de acesso ao terreno define quem corre o risco e quando o caixa sai. Comprar à vista, permutar por unidades ou montar uma parceria são negócios diferentes sobre o mesmo lote.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Qual forma de acesso ao terreno preserva caixa sem comprometer a segurança jurídica?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Compra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Permuta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Opção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Parceria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Aporte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Prazo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Due diligence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Regularização</w:t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Produto e mercado · Jurídico e regulatório · Capital e funding</w:t>
            </w:r>
          </w:p>
        </w:tc>
      </w:tr>
    </w:tbl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02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Produto e mercado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o produto é transformar o potencial do terreno em uma oferta aderente à demanda, ao preço e à capacidade de absorção do mercado.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O produto é a primeira decisão que muda todas as outras. Tipologia, mix e ticket definem o VGV, o custo e a velocidade de vendas.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Que produto este terreno e este mercado absorvem no preço e no prazo que o negócio precisa?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Público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Tipologia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Mix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Área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Ticket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Preço por m²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VGV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Demanda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Absorção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Lançamento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Técnica · Comercialização · Econômico-financeiro</w:t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03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Técnica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tecnicamente é converter o produto idealizado em uma solução executável, eficiente e compatível com custo, prazo e qualidade.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A solução técnica transforma o produto em custo e prazo. Implantação, sistema construtivo e fases determinam o orçamento e o cronograma que o caixa terá de suportar.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Qual solução técnica entrega o produto com o custo e o prazo que o fluxo de caixa comporta?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Implantação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Eficiência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Projetos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Sistema construtivo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Compatibilização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Infraestrutura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Fases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Orçamento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Cronograma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Econômico-financeiro · Produto e mercado · Comercialização</w:t>
            </w:r>
          </w:p>
        </w:tc>
      </w:tr>
    </w:tbl>
    <w:p>
      <w:pPr>
        <w:sectPr>
          <w:headerReference w:type="default" r:id="rId15"/>
          <w:footerReference w:type="default" r:id="rId16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04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Jurídico e regulatório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juridicamente é criar segurança para desenvolver, contratar, financiar, comercializar e concluir o empreendimento.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Sem base jurídica, nenhuma frente se sustenta. Matrícula, licenças, memorial e contratos são o que permite registrar, financiar e vender.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O empreendimento pode ser registrado, financiado e comercializado com segurança em cada etapa?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Matrícula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Licenças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Incorporação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Memorial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Contratos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Permutas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Parcerias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Garantias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Registros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Societário e governança · Capital e funding · Comercialização</w:t>
            </w:r>
          </w:p>
        </w:tc>
      </w:tr>
    </w:tbl>
    <w:p>
      <w:pPr>
        <w:sectPr>
          <w:headerReference w:type="default" r:id="rId17"/>
          <w:footerReference w:type="default" r:id="rId1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05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Societário e governança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a sociedade é definir quem participa, quanto aporta, como decide, como assume riscos e como recebe resultados.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A sociedade define quem decide, quem aporta e quem recebe. A escolha entre SPE, SCP e holding muda o risco, o tributo e o acesso ao capital.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Que estrutura societária isola riscos, organiza aportes e distribui resultados com clareza?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SPE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SCP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Holding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Sócios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Investidores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Participações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Aportes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Governança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Saída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Isolamento de risco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Tributário · Risco e retorno · Capital e funding</w:t>
            </w:r>
          </w:p>
        </w:tc>
      </w:tr>
    </w:tbl>
    <w:p>
      <w:pPr>
        <w:sectPr>
          <w:headerReference w:type="default" r:id="rId19"/>
          <w:footerReference w:type="default" r:id="rId20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06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Tributário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a tributação é adequar a operação ao regime mais eficiente e coerente com o modelo societário, comercial e financeiro.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O regime tributário acompanha a estrutura, não o contrário. RET, presumido ou real dependem do que foi decidido no societário, no comercial e no financeiro.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Qual regime é mais eficiente e coerente com a forma como o negócio foi montado?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RET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Presumido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Real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Afetação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Permuta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Integralização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Ganho de capital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Distribuição</w:t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Econômico-financeiro · Societário e governança · Terreno</w:t>
            </w:r>
          </w:p>
        </w:tc>
      </w:tr>
    </w:tbl>
    <w:p>
      <w:pPr>
        <w:sectPr>
          <w:headerReference w:type="default" r:id="rId21"/>
          <w:footerReference w:type="default" r:id="rId22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07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Econômico-financeiro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financeiramente é medir capital, retorno, exposição e sensibilidade para saber se o empreendimento cria valor e suporta seus riscos.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Aqui todas as frentes aparecem em números. Fluxo de caixa, exposição e sensibilidade mostram se o empreendimento cria valor e aguenta seus riscos.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Quanto capital o negócio exige, em que momento, e o que acontece se as premissas mudarem?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Fluxo de caixa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Exposição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Capital necessário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Margem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TIR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VPL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Payback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Break-even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Sensibilidades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Cenários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Capital e funding · Comercialização · Risco e retorno</w:t>
            </w:r>
          </w:p>
        </w:tc>
      </w:tr>
    </w:tbl>
    <w:p>
      <w:pPr>
        <w:sectPr>
          <w:headerReference w:type="default" r:id="rId23"/>
          <w:footerReference w:type="default" r:id="rId24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08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Capital e funding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o funding é combinar as fontes de capital certas, no momento certo, com custo, prazo, garantias e risco compatíveis com o projeto.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Capital é meio, não fim. Capital próprio, sócios, investidor, banco e recebíveis entram em momentos diferentes, com custo e garantias diferentes.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Que combinação de fontes financia a exposição do caixa com custo e risco compatíveis?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Capital próprio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Sócios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Investidor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Equity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Dívida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Caixa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Bancos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Recebíveis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CRI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Mercado de capitais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Risco e retorno · Jurídico e regulatório · Econômico-financeiro</w:t>
            </w:r>
          </w:p>
        </w:tc>
      </w:tr>
    </w:tbl>
    <w:p>
      <w:pPr>
        <w:sectPr>
          <w:headerReference w:type="default" r:id="rId25"/>
          <w:footerReference w:type="default" r:id="rId26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09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Comercialização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a comercialização é transformar produto em receita, equilibrando preço, velocidade de vendas e geração de caixa.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A comercialização transforma produto em receita e receita em caixa. Preço, tabela e velocidade de vendas decidem quanto capital externo o negócio pedirá.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Que estratégia de vendas equilibra preço, velocidade e geração de caixa ao longo da obra?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Preço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Tabela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Entrada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Parcelamento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Velocidade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Pré-venda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Associativo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Repasse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Estoque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Canais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Econômico-financeiro · Capital e funding · Produto e mercado</w:t>
            </w:r>
          </w:p>
        </w:tc>
      </w:tr>
    </w:tbl>
    <w:p>
      <w:pPr>
        <w:sectPr>
          <w:headerReference w:type="default" r:id="rId27"/>
          <w:footerReference w:type="default" r:id="rId2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B58A44"/>
          <w:sz w:val="60"/>
          <w:szCs w:val="60"/>
        </w:rPr>
        <w:t xml:space="preserve">10  </w:t>
      </w:r>
      <w:r>
        <w:rPr>
          <w:rFonts w:ascii="Georgia" w:cs="Georgia" w:eastAsia="Georgia" w:hAnsi="Georgia"/>
          <w:b/>
          <w:bCs/>
          <w:color w:val="082538"/>
          <w:sz w:val="44"/>
          <w:szCs w:val="44"/>
        </w:rPr>
        <w:t xml:space="preserve">Risco e retorno</w:t>
      </w:r>
    </w:p>
    <w:p>
      <w:pPr>
        <w:pBdr>
          <w:left w:val="single" w:color="B58A44" w:sz="18" w:space="12"/>
        </w:pBdr>
        <w:spacing w:after="240" w:before="12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Estruturar risco e retorno é equilibrar proteção, exposição e remuneração entre empreendedor, investidores, financiadores e demais partes.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49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O QUE ESTÁ EM JOGO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1B2A36"/>
                <w:sz w:val="20"/>
                <w:szCs w:val="20"/>
              </w:rPr>
              <w:t xml:space="preserve">Toda estrutura distribui risco e retorno entre as partes. Garantias, covenants, preferências e waterfall dizem quem protege quem e em que ordem.</w:t>
            </w:r>
          </w:p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A PERGUNTA QUE A MODELAGEM RESPONDE</w:t>
            </w:r>
          </w:p>
          <w:p>
            <w:pPr>
              <w:spacing w:after="0" w:line="300"/>
            </w:pPr>
            <w:r>
              <w:rPr>
                <w:rFonts w:ascii="Georgia" w:cs="Georgia" w:eastAsia="Georgia" w:hAnsi="Georgia"/>
                <w:i/>
                <w:iCs/>
                <w:color w:val="082538"/>
                <w:sz w:val="22"/>
                <w:szCs w:val="22"/>
              </w:rPr>
              <w:t xml:space="preserve">Como proteção, exposição e remuneração ficam equilibradas entre empreendedor, investidores e financiadores?</w:t>
            </w:r>
          </w:p>
        </w:tc>
        <w:tc>
          <w:tcPr>
            <w:tcW w:type="dxa" w:w="4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DECISÕES DESTA FRENTE</w:t>
            </w:r>
          </w:p>
          <w:tbl>
            <w:tblPr>
              <w:tblW w:type="dxa" w:w="481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04"/>
              <w:gridCol w:w="1204"/>
              <w:gridCol w:w="1204"/>
              <w:gridCol w:w="1204"/>
            </w:tblGrid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Riscos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Garantias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Covenants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Contingência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Participações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Preferência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Waterfall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Distribuição</w:t>
                  </w:r>
                </w:p>
              </w:tc>
            </w:tr>
            <w:tr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5F8" w:color="auto" w:val="clear"/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>Exit</w:t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1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70"/>
                    <w:left w:type="dxa" w:w="60"/>
                    <w:bottom w:type="dxa" w:w="7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082538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7A5A28"/>
                <w:spacing w:val="40"/>
                <w:sz w:val="15"/>
                <w:szCs w:val="15"/>
              </w:rPr>
              <w:t xml:space="preserve">TAMBÉM MOVE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7A5A28"/>
                <w:sz w:val="21"/>
                <w:szCs w:val="21"/>
              </w:rPr>
              <w:t xml:space="preserve">Societário e governança · Capital e funding · Jurídico e regulatório</w:t>
            </w:r>
          </w:p>
        </w:tc>
      </w:tr>
    </w:tbl>
    <w:p>
      <w:pPr>
        <w:sectPr>
          <w:headerReference w:type="default" r:id="rId29"/>
          <w:footerReference w:type="default" r:id="rId30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QUEM MOVE QUEM</w:t>
      </w:r>
    </w:p>
    <w:p>
      <w:pPr>
        <w:pStyle w:val="Heading1"/>
        <w:spacing w:after="240" w:before="80"/>
      </w:pPr>
      <w:r>
        <w:rPr>
          <w:rFonts w:ascii="Georgia" w:cs="Georgia" w:eastAsia="Georgia" w:hAnsi="Georgia"/>
          <w:b/>
          <w:bCs/>
          <w:color w:val="082538"/>
          <w:sz w:val="40"/>
          <w:szCs w:val="40"/>
        </w:rPr>
        <w:t xml:space="preserve">Nenhuma frente se decide sozinha.</w:t>
      </w:r>
    </w:p>
    <w:p>
      <w:pPr>
        <w:spacing w:after="160" w:line="300"/>
      </w:pPr>
      <w:r>
        <w:rPr>
          <w:rFonts w:ascii="Arial" w:cs="Arial" w:eastAsia="Arial" w:hAnsi="Arial"/>
          <w:color w:val="2C3E4E"/>
          <w:sz w:val="24"/>
          <w:szCs w:val="24"/>
        </w:rPr>
        <w:t xml:space="preserve">Cada linha mostra as frentes que uma decisão move primeiro. Terreno puxa produto, jurídico e capital. Societário puxa tributário, risco e capital. O financeiro recebe quase todas.</w:t>
      </w:r>
    </w:p>
    <w:tbl>
      <w:tblPr>
        <w:tblW w:type="dxa" w:w="96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3"/>
        <w:gridCol w:w="703"/>
        <w:gridCol w:w="703"/>
        <w:gridCol w:w="703"/>
        <w:gridCol w:w="703"/>
        <w:gridCol w:w="703"/>
        <w:gridCol w:w="703"/>
        <w:gridCol w:w="703"/>
        <w:gridCol w:w="703"/>
        <w:gridCol w:w="703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TERRENO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PRODUTO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TÉCNICA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JURÍDICO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SOCIETÁRIO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TRIBUTÁRIO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FINANCEIRO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FUNDING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COMERCIAL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6"/>
              <w:right w:val="none" w:color="FFFFFF" w:sz="0"/>
            </w:tcBorders>
            <w:tcMar>
              <w:top w:type="dxa" w:w="60"/>
              <w:left w:type="dxa" w:w="20"/>
              <w:bottom w:type="dxa" w:w="6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7586A"/>
                <w:sz w:val="11"/>
                <w:szCs w:val="11"/>
              </w:rPr>
              <w:t xml:space="preserve">RISCO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01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Terreno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02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Produto e mercado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03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Técnica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04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Jurídico e regulatório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05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Societário e governança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06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Tributário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07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Econômico-financeiro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08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Capital e funding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09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Comercialização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60"/>
              <w:bottom w:type="dxa" w:w="11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7A5A28"/>
                <w:sz w:val="15"/>
                <w:szCs w:val="15"/>
              </w:rPr>
              <w:t xml:space="preserve">10  </w:t>
            </w:r>
            <w:r>
              <w:rPr>
                <w:rFonts w:ascii="Arial" w:cs="Arial" w:eastAsia="Arial" w:hAnsi="Arial"/>
                <w:color w:val="082538"/>
                <w:sz w:val="18"/>
                <w:szCs w:val="18"/>
              </w:rPr>
              <w:t xml:space="preserve">Risco e retorno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>●</w:t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  <w:tc>
          <w:tcPr>
            <w:tcW w:type="dxa" w:w="703"/>
            <w:tcBorders>
              <w:top w:val="none" w:color="FFFFFF" w:sz="0"/>
              <w:left w:val="none" w:color="FFFFFF" w:sz="0"/>
              <w:bottom w:val="single" w:color="D3DCE3" w:sz="4"/>
              <w:right w:val="none" w:color="FFFFFF" w:sz="0"/>
            </w:tcBorders>
            <w:shd w:fill="F2F5F8" w:color="auto" w:val="clear"/>
            <w:tcMar>
              <w:top w:type="dxa" w:w="110"/>
              <w:left w:type="dxa" w:w="20"/>
              <w:bottom w:type="dxa" w:w="110"/>
              <w:right w:type="dxa" w:w="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58A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Arial" w:cs="Arial" w:eastAsia="Arial" w:hAnsi="Arial"/>
          <w:color w:val="47586A"/>
          <w:sz w:val="17"/>
          <w:szCs w:val="17"/>
        </w:rPr>
        <w:t xml:space="preserve">Leitura: a frente da linha move as frentes marcadas na coluna. As conexões indicadas são as primeiras, não as únicas: na modelagem, todas chegam ao caixa.</w:t>
      </w:r>
    </w:p>
    <w:p>
      <w:pPr>
        <w:spacing w:after="200"/>
      </w:pP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58A4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3"/>
                <w:szCs w:val="23"/>
              </w:rPr>
              <w:t xml:space="preserve">O financeiro recebe quase tudo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Produto, técnica, tributário, funding e comercialização desembocam no fluxo de caixa. É onde as frentes viram números comparáveis.</w:t>
            </w:r>
          </w:p>
        </w:tc>
        <w:tc>
          <w:tcPr>
            <w:tcW w:type="dxa" w:w="3212"/>
            <w:tcBorders>
              <w:top w:val="single" w:color="B58A4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3"/>
                <w:szCs w:val="23"/>
              </w:rPr>
              <w:t xml:space="preserve">Um triângulo de estrutura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Jurídico, societário e capital se movem juntos. A forma da sociedade define o que pode ser contratado, financiado e garantido.</w:t>
            </w:r>
          </w:p>
        </w:tc>
        <w:tc>
          <w:tcPr>
            <w:tcW w:type="dxa" w:w="3212"/>
            <w:tcBorders>
              <w:top w:val="single" w:color="B58A4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82538"/>
                <w:sz w:val="23"/>
                <w:szCs w:val="23"/>
              </w:rPr>
              <w:t xml:space="preserve">O terreno é o ponto de partida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8"/>
                <w:szCs w:val="18"/>
              </w:rPr>
              <w:t xml:space="preserve">A forma de acesso ao terreno já escolhe produto, base jurídica e necessidade de capital. Modelar começa ali.</w:t>
            </w:r>
          </w:p>
        </w:tc>
      </w:tr>
    </w:tbl>
    <w:p>
      <w:pPr>
        <w:sectPr>
          <w:headerReference w:type="default" r:id="rId31"/>
          <w:footerReference w:type="default" r:id="rId32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7A5A28"/>
          <w:spacing w:val="40"/>
          <w:sz w:val="15"/>
          <w:szCs w:val="15"/>
        </w:rPr>
        <w:t xml:space="preserve">DO MAPA AO SEU CASO</w:t>
      </w:r>
    </w:p>
    <w:p>
      <w:pPr>
        <w:pStyle w:val="Heading1"/>
        <w:spacing w:after="240" w:before="80"/>
      </w:pPr>
      <w:r>
        <w:rPr>
          <w:rFonts w:ascii="Georgia" w:cs="Georgia" w:eastAsia="Georgia" w:hAnsi="Georgia"/>
          <w:b/>
          <w:bCs/>
          <w:color w:val="082538"/>
          <w:sz w:val="40"/>
          <w:szCs w:val="40"/>
        </w:rPr>
        <w:t xml:space="preserve">Modelar é o que separa uma oportunidade de uma decisão.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80"/>
              <w:bottom w:type="dxa" w:w="16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7A5A28"/>
                <w:sz w:val="26"/>
                <w:szCs w:val="26"/>
              </w:rPr>
              <w:t xml:space="preserve">Premissas escritas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9"/>
                <w:szCs w:val="19"/>
              </w:rPr>
              <w:t xml:space="preserve">Cada número do modelo tem origem declarada: mercado, custo, prazo, tributo e capital.</w:t>
            </w:r>
          </w:p>
        </w:tc>
        <w:tc>
          <w:tcPr>
            <w:tcW w:type="dxa" w:w="481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80"/>
              <w:bottom w:type="dxa" w:w="16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7A5A28"/>
                <w:sz w:val="26"/>
                <w:szCs w:val="26"/>
              </w:rPr>
              <w:t xml:space="preserve">Caminhos lado a lado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9"/>
                <w:szCs w:val="19"/>
              </w:rPr>
              <w:t xml:space="preserve">Dois ou três cenários comparados pelos mesmos critérios, não uma recomendação isolada.</w:t>
            </w:r>
          </w:p>
        </w:tc>
      </w:tr>
      <w:tr>
        <w:tc>
          <w:tcPr>
            <w:tcW w:type="dxa" w:w="481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80"/>
              <w:bottom w:type="dxa" w:w="16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7A5A28"/>
                <w:sz w:val="26"/>
                <w:szCs w:val="26"/>
              </w:rPr>
              <w:t xml:space="preserve">Efeito no caixa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9"/>
                <w:szCs w:val="19"/>
              </w:rPr>
              <w:t xml:space="preserve">Para cada caminho, a exposição máxima, o momento em que ela acontece e quem a financia.</w:t>
            </w:r>
          </w:p>
        </w:tc>
        <w:tc>
          <w:tcPr>
            <w:tcW w:type="dxa" w:w="4819"/>
            <w:tcBorders>
              <w:top w:val="single" w:color="D3DCE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80"/>
              <w:bottom w:type="dxa" w:w="160"/>
              <w:right w:type="dxa" w:w="8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7A5A28"/>
                <w:sz w:val="26"/>
                <w:szCs w:val="26"/>
              </w:rPr>
              <w:t xml:space="preserve">Decisão registrada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47586A"/>
                <w:sz w:val="19"/>
                <w:szCs w:val="19"/>
              </w:rPr>
              <w:t xml:space="preserve">O caminho escolhido, o porquê e o que precisa estar pronto para a estruturação começar.</w:t>
            </w:r>
          </w:p>
        </w:tc>
      </w:tr>
    </w:tbl>
    <w:p>
      <w:pPr>
        <w:pBdr>
          <w:left w:val="single" w:color="B58A44" w:sz="18" w:space="12"/>
        </w:pBdr>
        <w:spacing w:after="400" w:before="400" w:line="300"/>
        <w:ind w:left="240"/>
      </w:pPr>
      <w:r>
        <w:rPr>
          <w:rFonts w:ascii="Georgia" w:cs="Georgia" w:eastAsia="Georgia" w:hAnsi="Georgia"/>
          <w:color w:val="082538"/>
          <w:sz w:val="26"/>
          <w:szCs w:val="26"/>
        </w:rPr>
        <w:t xml:space="preserve">O cliente decide. A empresa executa. A DALETH conduz, verifica e corrige a rota.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82538" w:color="auto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Modelar o seu empreendimento começa com uma conversa</w:t>
            </w:r>
          </w:p>
          <w:p>
            <w:pPr>
              <w:spacing w:after="160" w:line="300"/>
            </w:pPr>
            <w:r>
              <w:rPr>
                <w:rFonts w:ascii="Arial" w:cs="Arial" w:eastAsia="Arial" w:hAnsi="Arial"/>
                <w:color w:val="B9C8D4"/>
                <w:sz w:val="21"/>
                <w:szCs w:val="21"/>
              </w:rPr>
              <w:t xml:space="preserve">Conte o terreno, o produto ou a empresa. A primeira conversa é de enquadramento, sem custo, e já mostra por quais frentes o seu caso pede para começar.</w:t>
            </w:r>
          </w:p>
          <w:p>
            <w:r>
              <w:rPr>
                <w:rFonts w:ascii="Arial" w:cs="Arial" w:eastAsia="Arial" w:hAnsi="Arial"/>
                <w:b/>
                <w:bCs/>
                <w:color w:val="D4B37C"/>
                <w:sz w:val="19"/>
                <w:szCs w:val="19"/>
              </w:rPr>
              <w:t xml:space="preserve">cristianovalerioribeiro.github.io/cris-code/metodo/modelagem/</w:t>
            </w:r>
          </w:p>
        </w:tc>
      </w:tr>
    </w:tbl>
    <w:p>
      <w:pPr>
        <w:spacing w:before="800"/>
      </w:pPr>
      <w:r>
        <w:drawing>
          <wp:inline distT="0" distB="0" distL="0" distR="0">
            <wp:extent cx="14478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Georgia" w:cs="Georgia" w:eastAsia="Georgia" w:hAnsi="Georgia"/>
          <w:i/>
          <w:iCs/>
          <w:color w:val="47586A"/>
          <w:sz w:val="22"/>
          <w:szCs w:val="22"/>
        </w:rPr>
        <w:t xml:space="preserve">Ao seu lado na construção da sua história.</w:t>
      </w:r>
    </w:p>
    <w:sectPr>
      <w:headerReference w:type="default" r:id="rId33"/>
      <w:footerReference w:type="default" r:id="rId34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3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7D8D9B"/>
        <w:spacing w:val="60"/>
        <w:sz w:val="14"/>
        <w:szCs w:val="14"/>
      </w:rPr>
      <w:t xml:space="preserve">DALETH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Georgia" w:cs="Georgia" w:eastAsia="Georgia" w:hAnsi="Georgia"/>
        <w:color w:val="7A5A2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O QUE É MODELAR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O CONCEITO VISUAL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01 DE 10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02 DE 10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03 DE 10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04 DE 10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05 DE 10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06 DE 10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07 DE 10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08 DE 10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09 DE 10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FRENTE 10 DE 10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MAPA DE CONEXÕES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MODELAGEM DO EMPREENDIMENTO</w:t>
    </w:r>
    <w:r>
      <w:rPr>
        <w:rFonts w:ascii="Arial" w:cs="Arial" w:eastAsia="Arial" w:hAnsi="Arial"/>
        <w:color w:val="7D8D9B"/>
        <w:spacing w:val="30"/>
        <w:sz w:val="14"/>
        <w:szCs w:val="14"/>
      </w:rPr>
      <w:t xml:space="preserve">	O QUE A MODELAGEM ENTREGA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082538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082538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image" Target="media/019cbfd6fad528dd4cd87d050ed24cf47faafe26.png"/><Relationship Id="rId36" Type="http://schemas.openxmlformats.org/officeDocument/2006/relationships/image" Target="media/7f523d2c471257278073599e1f433e817857f28d.jpg"/><Relationship Id="rId37" Type="http://schemas.openxmlformats.org/officeDocument/2006/relationships/image" Target="media/4b8c15ee044984d40f78453fda164b55e1971abd.jpg"/><Relationship Id="rId38" Type="http://schemas.openxmlformats.org/officeDocument/2006/relationships/image" Target="media/f7076dd4027e79191db9698569aa341857e42ff5.jpg"/><Relationship Id="rId39" Type="http://schemas.openxmlformats.org/officeDocument/2006/relationships/image" Target="media/45d160e0dc3b4565e3457b25ba4493fc12d3d389.jpg"/><Relationship Id="rId40" Type="http://schemas.openxmlformats.org/officeDocument/2006/relationships/image" Target="media/0d722918ae5f536709a98290d32a3c136c2886fb.jpg"/><Relationship Id="rId41" Type="http://schemas.openxmlformats.org/officeDocument/2006/relationships/image" Target="media/cdec7f67d6cd449c2735bad754d6ab9be80380c0.jpg"/><Relationship Id="rId42" Type="http://schemas.openxmlformats.org/officeDocument/2006/relationships/image" Target="media/0f179ca5564ce7946050fef304a9b26c57ea5500.jpg"/><Relationship Id="rId43" Type="http://schemas.openxmlformats.org/officeDocument/2006/relationships/image" Target="media/0bb808131385cf2031963ee86d476d9dc4dab970.jpg"/><Relationship Id="rId44" Type="http://schemas.openxmlformats.org/officeDocument/2006/relationships/image" Target="media/4b6a84e1a132a19a98601bfd618ca09fcf4b6ba3.jpg"/><Relationship Id="rId45" Type="http://schemas.openxmlformats.org/officeDocument/2006/relationships/image" Target="media/c8352f513489054f55b9017f8a4a3e6b140df9e7.jpg"/><Relationship Id="rId46" Type="http://schemas.openxmlformats.org/officeDocument/2006/relationships/image" Target="media/d3a38fa8ac7325f97b3322dd61f13e70ee7d7d8d.jpg"/><Relationship Id="rId47" Type="http://schemas.openxmlformats.org/officeDocument/2006/relationships/image" Target="media/0e520d8f655351f2bbb3139ecedba58f8b3dbc74.jp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do empreendimento</dc:title>
  <dc:creator>DALETH</dc:creator>
  <dc:description>Dez frentes, uma decisão. Material de apoio do método DALETH.</dc:description>
  <cp:lastModifiedBy>Un-named</cp:lastModifiedBy>
  <cp:revision>1</cp:revision>
  <dcterms:created xsi:type="dcterms:W3CDTF">2026-10-06T16:40:21.546Z</dcterms:created>
  <dcterms:modified xsi:type="dcterms:W3CDTF">2026-10-06T16:40:21.552Z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