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Política de Crédito — Prévia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Vendas MCMV com entrada durante a obra e financiamento Caixa na entrega das chaves · versão 1 para discussão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A regra de ouro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Não vendemos para quem tem "nome limpo hoje". Vendemos para quem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vai ser aprovado pela Caixa no dia do repasse</w:t>
      </w:r>
      <w:r>
        <w:rPr>
          <w:rFonts w:ascii="Arial" w:cs="Arial" w:eastAsia="Arial" w:hAnsi="Arial"/>
          <w:sz w:val="21"/>
          <w:szCs w:val="21"/>
        </w:rPr>
        <w:t xml:space="preserve">, daqui a 12 a 18 meses. Se o cliente não passar no repasse, a unidade volta pronta para o estoque, com custo de distrato, revenda e risco de ação judicial. Todo esse risco é nosso, porque a obra não é financiada pela Caixa.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Por isso a análise olha três coisas, nesta ordem: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(1) o cliente pode entrar no MCMV?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(2) a restrição dele dá para limpar a tempo?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(3) a renda aguenta a parcela?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O que deve ser avaliado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38"/>
        <w:gridCol w:w="2800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conferir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conferir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Elegibilidade MCMV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Renda bruta familiar dentro da faixa; não ter imóvel residencial; não ter tido financiamento habitacional (CADMUT).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Declaração do cliente + SICAQ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Renda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Quanto comprova de verdade (holerite, extrato, IR, pró-labore). Renda informal só conta se a Caixa aceitar a comprovação.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Documentos + SICAQ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Restrições em birô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Negativações, protestos, cheque sem fundo, ações judiciais: valor, credor, data.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 Serasa/Boa Vista/SPC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Histórico bancário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Dívidas com banco vencidas ou em "prejuízo" nos últimos 24 meses.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Registrato (SCR) gerado pelo cliente no gov.br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Dívida com a Caixa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Qualquer atraso, acordo ou prejuízo com a Caixa (restrição interna CONRES).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SICAQ pelo correspondente Caixa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Governo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CPF regular na Receita; débitos federais (CADIN).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Site da Receita + SICAQ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Capacidade de pagamento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Parcela Caixa + acordos + entrada + outros empréstimos cabem na renda?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Simulação + Registrato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Comportamento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Já fez acordo e quebrou? A dívida é recente (endividamento em curso)?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Birô + Registrato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Limite de dívidas negativadas (quanto de "nome sujo" aceitamos)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Some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todas</w:t>
      </w:r>
      <w:r>
        <w:rPr>
          <w:rFonts w:ascii="Arial" w:cs="Arial" w:eastAsia="Arial" w:hAnsi="Arial"/>
          <w:sz w:val="21"/>
          <w:szCs w:val="21"/>
        </w:rPr>
        <w:t xml:space="preserve"> as restrições ativas (negativações + protestos + cheques). Compare com a tabela abaixo 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use a linha mais restritiva entre o valor em reais e a proporção da renda</w:t>
      </w:r>
      <w:r>
        <w:rPr>
          <w:rFonts w:ascii="Arial" w:cs="Arial" w:eastAsia="Arial" w:hAnsi="Arial"/>
          <w:sz w:val="21"/>
          <w:szCs w:val="21"/>
        </w:rPr>
        <w:t xml:space="preserve">. Exemplo: renda de R$ 2.000 e dívida de R$ 1.800 → pelo valor seria "moderada", mas pela renda (0,9×) também é "moderada". Renda de R$ 1.800 e dívida de R$ 2.800 → pelo valor "moderada", pela renda (1,6×) "alta" → vale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alta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3938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Soma das dívidas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Ou, em relação à renda bruta familiar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até R$ 1.000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até 0,5× a renda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Assina com Termo de Responsabilidade. Prazo de 60 dias para comprovar a baixa.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Moderada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R$ 1.001 a R$ 3.000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0,5× a 1× a renda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Dívida de consumo: assina com Termo e prazo de 90 dias. Dívida de banco: só reserva (não assina) até quitar.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R$ 3.001 a R$ 6.000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1× a 2× a renda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assina. Reserva por até 60 dias; assina só depois de quitar e passar em nova SICAQ.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Grave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acima de R$ 6.000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acima de 2× a renda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Reprova nesta venda. Orienta e reavalia em 6 meses (ou entra outro comprador para compor renda).</w:t>
            </w:r>
          </w:p>
        </w:tc>
      </w:tr>
    </w:tbl>
    <w:p>
      <w:pPr>
        <w:spacing w:after="6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Agravantes</w:t>
      </w:r>
      <w:r>
        <w:rPr>
          <w:rFonts w:ascii="Arial" w:cs="Arial" w:eastAsia="Arial" w:hAnsi="Arial"/>
          <w:sz w:val="21"/>
          <w:szCs w:val="21"/>
        </w:rPr>
        <w:t xml:space="preserve"> (sobem a classe em um nível): 4 ou mais credores; negativação com menos de 3 meses; acordo anterior quebrado; dívida de banco/cartão no SCR; protesto ou ação de cobrança.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Atenuante</w:t>
      </w:r>
      <w:r>
        <w:rPr>
          <w:rFonts w:ascii="Arial" w:cs="Arial" w:eastAsia="Arial" w:hAnsi="Arial"/>
          <w:sz w:val="21"/>
          <w:szCs w:val="21"/>
        </w:rPr>
        <w:t xml:space="preserve"> (desce um nível): dívida já paga ou acordo quitado, com comprovante, aguardando só a baixa.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Os bloqueios da seção 5 valem acima desta tabela.</w:t>
      </w:r>
      <w:r>
        <w:rPr>
          <w:rFonts w:ascii="Arial" w:cs="Arial" w:eastAsia="Arial" w:hAnsi="Arial"/>
          <w:sz w:val="21"/>
          <w:szCs w:val="21"/>
        </w:rPr>
        <w:t xml:space="preserve"> Uma dívida de R$ 500 com a Caixa reprova; uma de R$ 2.000 com loja, não.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Tipos de dívida: da mais fácil à mais difícil de limpar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1700"/>
        <w:gridCol w:w="2300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Dificuldade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dívida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 para limpar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Fácil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Telefonia, internet, TV; lojas e crediário; contas de luz e água; escola e faculdade particular; dívidas vendidas para securitizadoras (aparecem no Serasa Limpa Nome com grande desconto).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dias a 2 semanas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Pagou ou fez acordo: o credor é obrigado a dar baixa em até 5 dias úteis (Súmula 548 STJ). Não aparece no SCR do Banco Central.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Média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Protesto em cartório; cheque sem fundo (CCF); CPF pendente na Receita; débito federal (CADIN) que pode ser parcelado; cartão ou empréstimo de banco ainda "vencido" (não virou prejuízo).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a 8 semanas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Depende de terceiros: carta de anuência + custas no cartório, resgate do cheque no banco, parcelamento no órgão. O "vencido" some do SCR no mês seguinte ao pagamento.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Difícil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Dívida grande de banco/cartão já em "prejuízo" no SCR; financiamento de veículo atrasado (com busca e apreensão); ação de execução ou cobrança judicial; dívida ativa de valor alto.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meses, e o resultado é incerto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Mesmo depois de pagar, o registro de prejuízo continua no histórico do SCR, que os bancos consultam pelos últimos 24 meses. Ação judicial exige acordo homologado.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Impossível a tempo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 seção 5.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se resolve em 12 a 18 meses.</w:t>
            </w:r>
          </w:p>
        </w:tc>
      </w:tr>
    </w:tbl>
    <w:p>
      <w:pPr>
        <w:spacing w:after="6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Atenção ao acordo parcelado:</w:t>
      </w:r>
      <w:r>
        <w:rPr>
          <w:rFonts w:ascii="Arial" w:cs="Arial" w:eastAsia="Arial" w:hAnsi="Arial"/>
          <w:sz w:val="21"/>
          <w:szCs w:val="21"/>
        </w:rPr>
        <w:t xml:space="preserve"> ele tira o nome do Serasa assim que a 1ª parcela é paga, mas a parcela passa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comer renda</w:t>
      </w:r>
      <w:r>
        <w:rPr>
          <w:rFonts w:ascii="Arial" w:cs="Arial" w:eastAsia="Arial" w:hAnsi="Arial"/>
          <w:sz w:val="21"/>
          <w:szCs w:val="21"/>
        </w:rPr>
        <w:t xml:space="preserve"> e, se a dívida for de banco, o acordo continua visível no SCR. Um acordo quebrado no meio da obra é pior do que a dívida original.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"Nome sujo" que não dá para limpar a tempo — reprovação direta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Nestes casos não adianta dar prazo: a Caixa tende a reprovar no repasse mesmo que o cliente pague tudo. A venda não deve ser feita (salvo outro comprador que componha renda e passe sozinho).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Qualquer dívida, acordo ou atraso com a própria Caixa</w:t>
      </w:r>
      <w:r>
        <w:rPr>
          <w:rFonts w:ascii="Arial" w:cs="Arial" w:eastAsia="Arial" w:hAnsi="Arial"/>
          <w:sz w:val="21"/>
          <w:szCs w:val="21"/>
        </w:rPr>
        <w:t xml:space="preserve"> (cartão, empréstimo, consignado, cheque especial, financiamento). Gera a restrição interna CONRES, que pesa por até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5 anos</w:t>
      </w:r>
      <w:r>
        <w:rPr>
          <w:rFonts w:ascii="Arial" w:cs="Arial" w:eastAsia="Arial" w:hAnsi="Arial"/>
          <w:sz w:val="21"/>
          <w:szCs w:val="21"/>
        </w:rPr>
        <w:t xml:space="preserve"> a partir da inclusão, mesmo depois de quitada. Só a SICAQ mostra isso — por isso ela é obrigatória.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Dívida de banco em "prejuízo" no SCR registrada nos últimos 12 meses.</w:t>
      </w:r>
      <w:r>
        <w:rPr>
          <w:rFonts w:ascii="Arial" w:cs="Arial" w:eastAsia="Arial" w:hAnsi="Arial"/>
          <w:sz w:val="21"/>
          <w:szCs w:val="21"/>
        </w:rPr>
        <w:t xml:space="preserve"> No dia do repasse ela ainda estará dentro da janela de 24 meses que o banco enxerga.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Consta no CADMUT</w:t>
      </w:r>
      <w:r>
        <w:rPr>
          <w:rFonts w:ascii="Arial" w:cs="Arial" w:eastAsia="Arial" w:hAnsi="Arial"/>
          <w:sz w:val="21"/>
          <w:szCs w:val="21"/>
        </w:rPr>
        <w:t xml:space="preserve"> (já teve financiamento habitacional) ou é dono de imóvel residencial. Não é dívida, é regra do programa: não tem solução.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Ação de execução ou busca e apreensão em andamento</w:t>
      </w:r>
      <w:r>
        <w:rPr>
          <w:rFonts w:ascii="Arial" w:cs="Arial" w:eastAsia="Arial" w:hAnsi="Arial"/>
          <w:sz w:val="21"/>
          <w:szCs w:val="21"/>
        </w:rPr>
        <w:t xml:space="preserve"> sem acordo homologado.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CPF cancelado ou suspenso por fraude/duplicidade</w:t>
      </w:r>
      <w:r>
        <w:rPr>
          <w:rFonts w:ascii="Arial" w:cs="Arial" w:eastAsia="Arial" w:hAnsi="Arial"/>
          <w:sz w:val="21"/>
          <w:szCs w:val="21"/>
        </w:rPr>
        <w:t xml:space="preserve">, ou indícios de documento falso.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Renda que não comporta a parcela</w:t>
      </w:r>
      <w:r>
        <w:rPr>
          <w:rFonts w:ascii="Arial" w:cs="Arial" w:eastAsia="Arial" w:hAnsi="Arial"/>
          <w:sz w:val="21"/>
          <w:szCs w:val="21"/>
        </w:rPr>
        <w:t xml:space="preserve"> nem com subsídio, FGTS e entrada — não é "nome sujo", mas reprova igual.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Limite máximo de endividamento (capacidade de pagamento)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8"/>
        <w:gridCol w:w="1500"/>
        <w:gridCol w:w="3500"/>
      </w:tblGrid>
      <w:tr>
        <w:trPr>
          <w:cantSplit/>
          <w:tblHeader/>
        </w:trPr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somar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rPr>
          <w:cantSplit/>
          <w:tblHeader w:val="false"/>
        </w:trPr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Parcela estimada do financiamento Caixa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até 30% da renda bruta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 da própria Caixa. Acima disso, a Caixa reduz o valor financiado.</w:t>
            </w:r>
          </w:p>
        </w:tc>
      </w:tr>
      <w:tr>
        <w:trPr>
          <w:cantSplit/>
          <w:tblHeader w:val="false"/>
        </w:trPr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Durante a obra: parcela da entrada + parcelas de acordos de dívidas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até 25%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Acima disso o cliente atrasa a entrada, que é o primeiro sinal de que vai cair no repasse.</w:t>
            </w:r>
          </w:p>
        </w:tc>
      </w:tr>
      <w:tr>
        <w:trPr>
          <w:cantSplit/>
          <w:tblHeader w:val="false"/>
        </w:trPr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repasse: parcela Caixa + saldo de entrada/pró-soluto + acordos + empréstimos e consignados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até 35%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Cartão de crédito rotativo e parcelado entram na conta.</w:t>
            </w:r>
          </w:p>
        </w:tc>
      </w:tr>
      <w:tr>
        <w:trPr>
          <w:cantSplit/>
          <w:tblHeader w:val="false"/>
        </w:trPr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Dívidas de banco não negativadas (empréstimos, cartão) somadas no SCR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até 6× a renda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Acima disso, mesmo em dia, o cliente está alavancado demais; exige comitê.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A rotina, do atendimento ao repasse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7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Atendimento</w:t>
            </w:r>
          </w:p>
        </w:tc>
        <w:tc>
          <w:tcPr>
            <w:tcW w:type="dxa" w:w="7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Corretor pergunta: renda e como comprova; se já teve imóvel/financiamento; se tem dívida em atraso e com quem; se tem ou teve algo com a Caixa. Pede para o cliente gerar o Registrato no celular (gov.br).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Até 5 dias</w:t>
            </w:r>
          </w:p>
        </w:tc>
        <w:tc>
          <w:tcPr>
            <w:tcW w:type="dxa" w:w="7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 de birô + leitura do Registrato + SICAQ no correspondente Caixa. Classifica pelas seções 3 a 6.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Assinatura</w:t>
            </w:r>
          </w:p>
        </w:tc>
        <w:tc>
          <w:tcPr>
            <w:tcW w:type="dxa" w:w="7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Leve/moderada de consumo: contrato + Termo de Responsabilidade com a lista das dívidas e o prazo. Alta: só reserva. Grave ou seção 5: não vende.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Durante o prazo do Termo</w:t>
            </w:r>
          </w:p>
        </w:tc>
        <w:tc>
          <w:tcPr>
            <w:tcW w:type="dxa" w:w="7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 mensal até o cliente comprovar a baixa.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Resto da obra</w:t>
            </w:r>
          </w:p>
        </w:tc>
        <w:tc>
          <w:tcPr>
            <w:tcW w:type="dxa" w:w="7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 sem restrição: consulta a cada 6 meses. Cliente que já teve restrição: a cada 3 meses. Atraso de mais de 15 dias na entrada: consulta na hora.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Restrição nova</w:t>
            </w:r>
          </w:p>
        </w:tc>
        <w:tc>
          <w:tcPr>
            <w:tcW w:type="dxa" w:w="7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 por escrito com 30 dias para resolver. Não resolveu: mais 30 dias e reunião. Não resolveu: comitê decide (outro comprador, troca de unidade, cessão ou distrato).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180 dias antes das chaves</w:t>
            </w:r>
          </w:p>
        </w:tc>
        <w:tc>
          <w:tcPr>
            <w:tcW w:type="dxa" w:w="7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 da carteira inteira.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120 dias antes</w:t>
            </w:r>
          </w:p>
        </w:tc>
        <w:tc>
          <w:tcPr>
            <w:tcW w:type="dxa" w:w="7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Nova SICAQ para todos os clientes (renda, faixa MCMV e restrições atualizadas).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 dias antes</w:t>
            </w:r>
          </w:p>
        </w:tc>
        <w:tc>
          <w:tcPr>
            <w:tcW w:type="dxa" w:w="7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Quem não vai passar entra no plano de saída (outro comprador, unidade menor, mais entrada/FGTS, cessão, distrato).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Quem aprova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Sem restrição e SICAQ aprovada:</w:t>
      </w:r>
      <w:r>
        <w:rPr>
          <w:rFonts w:ascii="Arial" w:cs="Arial" w:eastAsia="Arial" w:hAnsi="Arial"/>
          <w:sz w:val="21"/>
          <w:szCs w:val="21"/>
        </w:rPr>
        <w:t xml:space="preserve"> analista de crédito.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Leve / moderada:</w:t>
      </w:r>
      <w:r>
        <w:rPr>
          <w:rFonts w:ascii="Arial" w:cs="Arial" w:eastAsia="Arial" w:hAnsi="Arial"/>
          <w:sz w:val="21"/>
          <w:szCs w:val="21"/>
        </w:rPr>
        <w:t xml:space="preserve"> coordenador de crédito.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Alta (reserva):</w:t>
      </w:r>
      <w:r>
        <w:rPr>
          <w:rFonts w:ascii="Arial" w:cs="Arial" w:eastAsia="Arial" w:hAnsi="Arial"/>
          <w:sz w:val="21"/>
          <w:szCs w:val="21"/>
        </w:rPr>
        <w:t xml:space="preserve"> coordenador; contrato só após nova SICAQ.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Qualquer exceção a esta política:</w:t>
      </w:r>
      <w:r>
        <w:rPr>
          <w:rFonts w:ascii="Arial" w:cs="Arial" w:eastAsia="Arial" w:hAnsi="Arial"/>
          <w:sz w:val="21"/>
          <w:szCs w:val="21"/>
        </w:rPr>
        <w:t xml:space="preserve"> comitê (comercial + financeiro + diretoria), por escrito, até 2% das unidades.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Teto da carteira:</w:t>
      </w:r>
      <w:r>
        <w:rPr>
          <w:rFonts w:ascii="Arial" w:cs="Arial" w:eastAsia="Arial" w:hAnsi="Arial"/>
          <w:sz w:val="21"/>
          <w:szCs w:val="21"/>
        </w:rPr>
        <w:t xml:space="preserve"> no máximo 20% das unidades vendidas com Termo de Responsabilidade ativo.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Pontos a validar antes de adotar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Os valores em reais (R$ 1.000 / 3.000 / 6.000) são ponto de partida para uma renda típica de MCMV. Calibrar depois dos primeiros 50 repasses, comparando com o que a Caixa aprovou de fato.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Confirmar com o correspondente Caixa como o banco trata hoje o prejuízo antigo no SCR e o prazo do CONRES.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Revisão jurídica do contrato, do quadro-resumo (Lei 13.786/2018) e do Termo de Responsabilidade.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Definir se o empreendimento terá patrimônio de afetação (permite reter até 50% em distrato por culpa do comprador; sem ele, 25%).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Prévia da Política de Crédito — 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de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2026-09-25T16:03:41.831Z</dcterms:created>
  <dcterms:modified xsi:type="dcterms:W3CDTF">2026-09-25T16:03:41.831Z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