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  <Override ContentType="application/vnd.openxmlformats-officedocument.wordprocessingml.header+xml" PartName="/word/header14.xml"/>
  <Override ContentType="application/vnd.openxmlformats-officedocument.wordprocessingml.footer+xml" PartName="/word/footer1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drawing>
          <wp:inline distT="0" distB="0" distL="0" distR="0">
            <wp:extent cx="180975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</w:pPr>
      <w:r>
        <w:drawing>
          <wp:inline distT="0" distB="0" distL="0" distR="0">
            <wp:extent cx="6124575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A28"/>
          <w:spacing w:val="40"/>
          <w:sz w:val="15"/>
          <w:szCs w:val="15"/>
        </w:rPr>
        <w:t xml:space="preserve">MÉTODO DALETH · 02 · MODELAR</w:t>
      </w:r>
    </w:p>
    <w:p>
      <w:pPr>
        <w:spacing w:after="240"/>
      </w:pPr>
      <w:r>
        <w:rPr>
          <w:rFonts w:ascii="Georgia" w:cs="Georgia" w:eastAsia="Georgia" w:hAnsi="Georgia"/>
          <w:b/>
          <w:bCs/>
          <w:color w:val="082538"/>
          <w:sz w:val="72"/>
          <w:szCs w:val="72"/>
        </w:rPr>
        <w:t xml:space="preserve">Modelagem do empreendimento</w:t>
      </w:r>
    </w:p>
    <w:p>
      <w:pPr>
        <w:spacing w:after="160" w:line="300"/>
      </w:pPr>
      <w:r>
        <w:rPr>
          <w:rFonts w:ascii="Arial" w:cs="Arial" w:eastAsia="Arial" w:hAnsi="Arial"/>
          <w:color w:val="2C3E4E"/>
          <w:sz w:val="24"/>
          <w:szCs w:val="24"/>
        </w:rPr>
        <w:t xml:space="preserve">Dez frentes, uma decisão. Mudar uma muda as outras. Por isso modelamos antes de escolher.</w:t>
      </w:r>
    </w:p>
    <w:p>
      <w:pPr>
        <w:pBdr>
          <w:top w:val="single" w:color="B58A44" w:sz="12" w:space="8"/>
        </w:pBdr>
        <w:spacing w:before="600"/>
      </w:pPr>
      <w:r>
        <w:rPr>
          <w:rFonts w:ascii="Arial" w:cs="Arial" w:eastAsia="Arial" w:hAnsi="Arial"/>
          <w:color w:val="47586A"/>
          <w:spacing w:val="40"/>
          <w:sz w:val="15"/>
          <w:szCs w:val="15"/>
        </w:rPr>
        <w:t xml:space="preserve">ESTRUTURAÇÃO DE NEGÓCIOS IMOBILIÁRIOS · BELO HORIZONTE · ATUAÇÃO NACIONAL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7A5A28"/>
          <w:spacing w:val="40"/>
          <w:sz w:val="15"/>
          <w:szCs w:val="15"/>
        </w:rPr>
        <w:t xml:space="preserve">O SEGUNDO MOVIMENTO DO MÉTODO</w:t>
      </w:r>
    </w:p>
    <w:p>
      <w:pPr>
        <w:pStyle w:val="Heading1"/>
        <w:spacing w:after="240" w:before="80"/>
      </w:pPr>
      <w:r>
        <w:rPr>
          <w:rFonts w:ascii="Georgia" w:cs="Georgia" w:eastAsia="Georgia" w:hAnsi="Georgia"/>
          <w:b/>
          <w:bCs/>
          <w:color w:val="082538"/>
          <w:sz w:val="40"/>
          <w:szCs w:val="40"/>
        </w:rPr>
        <w:t xml:space="preserve">Modelar é colocar os caminhos lado a lado, com premissas escritas, antes de comprometer capital.</w:t>
      </w: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D3DCE3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8D9B"/>
                <w:spacing w:val="30"/>
                <w:sz w:val="14"/>
                <w:szCs w:val="14"/>
              </w:rPr>
              <w:t xml:space="preserve">01</w:t>
            </w:r>
          </w:p>
          <w:p>
            <w:r>
              <w:rPr>
                <w:rFonts w:ascii="Georgia" w:cs="Georgia" w:eastAsia="Georgia" w:hAnsi="Georgia"/>
                <w:b/>
                <w:bCs/>
                <w:color w:val="082538"/>
                <w:sz w:val="24"/>
                <w:szCs w:val="24"/>
              </w:rPr>
              <w:t xml:space="preserve">Mapear</w:t>
            </w:r>
          </w:p>
          <w:p>
            <w:r>
              <w:rPr>
                <w:rFonts w:ascii="Arial" w:cs="Arial" w:eastAsia="Arial" w:hAnsi="Arial"/>
                <w:color w:val="47586A"/>
                <w:sz w:val="17"/>
                <w:szCs w:val="17"/>
              </w:rPr>
              <w:t xml:space="preserve">para compreender</w:t>
            </w:r>
          </w:p>
        </w:tc>
        <w:tc>
          <w:tcPr>
            <w:tcW w:type="dxa" w:w="2409"/>
            <w:tcBorders>
              <w:top w:val="single" w:color="B58A44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8D9B"/>
                <w:spacing w:val="30"/>
                <w:sz w:val="14"/>
                <w:szCs w:val="14"/>
              </w:rPr>
              <w:t xml:space="preserve">02</w:t>
            </w:r>
          </w:p>
          <w:p>
            <w:r>
              <w:rPr>
                <w:rFonts w:ascii="Georgia" w:cs="Georgia" w:eastAsia="Georgia" w:hAnsi="Georgia"/>
                <w:b/>
                <w:bCs/>
                <w:color w:val="7A5A28"/>
                <w:sz w:val="24"/>
                <w:szCs w:val="24"/>
              </w:rPr>
              <w:t xml:space="preserve">Modelar</w:t>
            </w:r>
          </w:p>
          <w:p>
            <w:r>
              <w:rPr>
                <w:rFonts w:ascii="Arial" w:cs="Arial" w:eastAsia="Arial" w:hAnsi="Arial"/>
                <w:color w:val="47586A"/>
                <w:sz w:val="17"/>
                <w:szCs w:val="17"/>
              </w:rPr>
              <w:t xml:space="preserve">para enxergar</w:t>
            </w:r>
          </w:p>
        </w:tc>
        <w:tc>
          <w:tcPr>
            <w:tcW w:type="dxa" w:w="2409"/>
            <w:tcBorders>
              <w:top w:val="single" w:color="D3DCE3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8D9B"/>
                <w:spacing w:val="30"/>
                <w:sz w:val="14"/>
                <w:szCs w:val="14"/>
              </w:rPr>
              <w:t xml:space="preserve">03</w:t>
            </w:r>
          </w:p>
          <w:p>
            <w:r>
              <w:rPr>
                <w:rFonts w:ascii="Georgia" w:cs="Georgia" w:eastAsia="Georgia" w:hAnsi="Georgia"/>
                <w:b/>
                <w:bCs/>
                <w:color w:val="082538"/>
                <w:sz w:val="24"/>
                <w:szCs w:val="24"/>
              </w:rPr>
              <w:t xml:space="preserve">Estruturar</w:t>
            </w:r>
          </w:p>
          <w:p>
            <w:r>
              <w:rPr>
                <w:rFonts w:ascii="Arial" w:cs="Arial" w:eastAsia="Arial" w:hAnsi="Arial"/>
                <w:color w:val="47586A"/>
                <w:sz w:val="17"/>
                <w:szCs w:val="17"/>
              </w:rPr>
              <w:t xml:space="preserve">para tornar executável</w:t>
            </w:r>
          </w:p>
        </w:tc>
        <w:tc>
          <w:tcPr>
            <w:tcW w:type="dxa" w:w="2409"/>
            <w:tcBorders>
              <w:top w:val="single" w:color="D3DCE3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8D9B"/>
                <w:spacing w:val="30"/>
                <w:sz w:val="14"/>
                <w:szCs w:val="14"/>
              </w:rPr>
              <w:t xml:space="preserve">04</w:t>
            </w:r>
          </w:p>
          <w:p>
            <w:r>
              <w:rPr>
                <w:rFonts w:ascii="Georgia" w:cs="Georgia" w:eastAsia="Georgia" w:hAnsi="Georgia"/>
                <w:b/>
                <w:bCs/>
                <w:color w:val="082538"/>
                <w:sz w:val="24"/>
                <w:szCs w:val="24"/>
              </w:rPr>
              <w:t xml:space="preserve">Sustentar</w:t>
            </w:r>
          </w:p>
          <w:p>
            <w:r>
              <w:rPr>
                <w:rFonts w:ascii="Arial" w:cs="Arial" w:eastAsia="Arial" w:hAnsi="Arial"/>
                <w:color w:val="47586A"/>
                <w:sz w:val="17"/>
                <w:szCs w:val="17"/>
              </w:rPr>
              <w:t xml:space="preserve">para funcionar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color w:val="2C3E4E"/>
          <w:sz w:val="24"/>
          <w:szCs w:val="24"/>
        </w:rPr>
        <w:t xml:space="preserve">Mapeamos para compreender, modelamos para enxergar, estruturamos para tornar executável, sustentamos para funcionar. Modelar é o movimento que muda o resultado: é quando o empreendimento ainda cabe inteiro numa planilha e qualquer decisão custa pouco para ser revista.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82538"/>
          <w:sz w:val="28"/>
          <w:szCs w:val="28"/>
        </w:rPr>
        <w:t xml:space="preserve">O mesmo terreno gera negócios diferentes</w:t>
      </w:r>
    </w:p>
    <w:p>
      <w:pPr>
        <w:spacing w:after="160" w:line="300"/>
      </w:pPr>
      <w:r>
        <w:rPr>
          <w:rFonts w:ascii="Arial" w:cs="Arial" w:eastAsia="Arial" w:hAnsi="Arial"/>
          <w:color w:val="1B2A36"/>
          <w:sz w:val="21"/>
          <w:szCs w:val="21"/>
        </w:rPr>
        <w:t xml:space="preserve">Vender, permutar ou incorporar. Uma torre ou duas fases. SPE ou SCP. Crédito de obra ou investidor. Cada escolha move as outras, e todas aparecem no caixa. Comparamos os caminhos pelos mesmos critérios antes de escolher um.</w:t>
      </w: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none" w:color="FFFFFF" w:sz="0"/>
              <w:left w:val="single" w:color="B58A44" w:sz="18"/>
              <w:bottom w:val="none" w:color="FFFFFF" w:sz="0"/>
              <w:right w:val="none" w:color="FFFFFF" w:sz="0"/>
            </w:tcBorders>
            <w:shd w:fill="F2F5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82538"/>
                <w:sz w:val="26"/>
                <w:szCs w:val="26"/>
              </w:rPr>
              <w:t xml:space="preserve">Vender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1B2A36"/>
                <w:sz w:val="18"/>
                <w:szCs w:val="18"/>
              </w:rPr>
              <w:t xml:space="preserve">Recebe à vista e sai no primeiro dia.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47586A"/>
                <w:sz w:val="18"/>
                <w:szCs w:val="18"/>
              </w:rPr>
              <w:t xml:space="preserve">Menor risco. Menor captura de valor.</w:t>
            </w:r>
          </w:p>
        </w:tc>
        <w:tc>
          <w:tcPr>
            <w:tcW w:type="dxa" w:w="3212"/>
            <w:tcBorders>
              <w:top w:val="none" w:color="FFFFFF" w:sz="0"/>
              <w:left w:val="single" w:color="B58A44" w:sz="18"/>
              <w:bottom w:val="none" w:color="FFFFFF" w:sz="0"/>
              <w:right w:val="none" w:color="FFFFFF" w:sz="0"/>
            </w:tcBorders>
            <w:shd w:fill="F2F5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82538"/>
                <w:sz w:val="26"/>
                <w:szCs w:val="26"/>
              </w:rPr>
              <w:t xml:space="preserve">Permutar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1B2A36"/>
                <w:sz w:val="18"/>
                <w:szCs w:val="18"/>
              </w:rPr>
              <w:t xml:space="preserve">Recebe unidades no lugar do preço.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47586A"/>
                <w:sz w:val="18"/>
                <w:szCs w:val="18"/>
              </w:rPr>
              <w:t xml:space="preserve">Assume risco de obra e de vendas. Caixa preservado.</w:t>
            </w:r>
          </w:p>
        </w:tc>
        <w:tc>
          <w:tcPr>
            <w:tcW w:type="dxa" w:w="3212"/>
            <w:tcBorders>
              <w:top w:val="none" w:color="FFFFFF" w:sz="0"/>
              <w:left w:val="single" w:color="B58A44" w:sz="18"/>
              <w:bottom w:val="none" w:color="FFFFFF" w:sz="0"/>
              <w:right w:val="none" w:color="FFFFFF" w:sz="0"/>
            </w:tcBorders>
            <w:shd w:fill="F2F5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82538"/>
                <w:sz w:val="26"/>
                <w:szCs w:val="26"/>
              </w:rPr>
              <w:t xml:space="preserve">Incorporar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1B2A36"/>
                <w:sz w:val="18"/>
                <w:szCs w:val="18"/>
              </w:rPr>
              <w:t xml:space="preserve">Assume o empreendimento inteiro.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47586A"/>
                <w:sz w:val="18"/>
                <w:szCs w:val="18"/>
              </w:rPr>
              <w:t xml:space="preserve">Maior captura de valor. Maior exposição.</w:t>
            </w:r>
          </w:p>
        </w:tc>
      </w:tr>
    </w:tbl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82538"/>
          <w:sz w:val="28"/>
          <w:szCs w:val="28"/>
        </w:rPr>
        <w:t xml:space="preserve">Cada decisão muda a seguinte</w:t>
      </w:r>
    </w:p>
    <w:p>
      <w:pPr>
        <w:spacing w:after="160" w:before="120"/>
      </w:pPr>
      <w:r>
        <w:rPr>
          <w:rFonts w:ascii="Arial" w:cs="Arial" w:eastAsia="Arial" w:hAnsi="Arial"/>
          <w:b/>
          <w:bCs/>
          <w:color w:val="082538"/>
          <w:spacing w:val="20"/>
          <w:sz w:val="17"/>
          <w:szCs w:val="17"/>
        </w:rPr>
        <w:t xml:space="preserve">PRODUTO</w:t>
      </w:r>
      <w:r>
        <w:rPr>
          <w:rFonts w:ascii="Arial" w:cs="Arial" w:eastAsia="Arial" w:hAnsi="Arial"/>
          <w:color w:val="B58A44"/>
          <w:sz w:val="20"/>
          <w:szCs w:val="20"/>
        </w:rPr>
        <w:t xml:space="preserve">   →   </w:t>
      </w:r>
      <w:r>
        <w:rPr>
          <w:rFonts w:ascii="Arial" w:cs="Arial" w:eastAsia="Arial" w:hAnsi="Arial"/>
          <w:b/>
          <w:bCs/>
          <w:color w:val="082538"/>
          <w:spacing w:val="20"/>
          <w:sz w:val="17"/>
          <w:szCs w:val="17"/>
        </w:rPr>
        <w:t xml:space="preserve">ORÇAMENTO</w:t>
      </w:r>
      <w:r>
        <w:rPr>
          <w:rFonts w:ascii="Arial" w:cs="Arial" w:eastAsia="Arial" w:hAnsi="Arial"/>
          <w:color w:val="B58A44"/>
          <w:sz w:val="20"/>
          <w:szCs w:val="20"/>
        </w:rPr>
        <w:t xml:space="preserve">   →   </w:t>
      </w:r>
      <w:r>
        <w:rPr>
          <w:rFonts w:ascii="Arial" w:cs="Arial" w:eastAsia="Arial" w:hAnsi="Arial"/>
          <w:b/>
          <w:bCs/>
          <w:color w:val="082538"/>
          <w:spacing w:val="20"/>
          <w:sz w:val="17"/>
          <w:szCs w:val="17"/>
        </w:rPr>
        <w:t xml:space="preserve">CAIXA</w:t>
      </w:r>
      <w:r>
        <w:rPr>
          <w:rFonts w:ascii="Arial" w:cs="Arial" w:eastAsia="Arial" w:hAnsi="Arial"/>
          <w:color w:val="B58A44"/>
          <w:sz w:val="20"/>
          <w:szCs w:val="20"/>
        </w:rPr>
        <w:t xml:space="preserve">   →   </w:t>
      </w:r>
      <w:r>
        <w:rPr>
          <w:rFonts w:ascii="Arial" w:cs="Arial" w:eastAsia="Arial" w:hAnsi="Arial"/>
          <w:b/>
          <w:bCs/>
          <w:color w:val="082538"/>
          <w:spacing w:val="20"/>
          <w:sz w:val="17"/>
          <w:szCs w:val="17"/>
        </w:rPr>
        <w:t xml:space="preserve">CAPITAL</w:t>
      </w:r>
      <w:r>
        <w:rPr>
          <w:rFonts w:ascii="Arial" w:cs="Arial" w:eastAsia="Arial" w:hAnsi="Arial"/>
          <w:color w:val="B58A44"/>
          <w:sz w:val="20"/>
          <w:szCs w:val="20"/>
        </w:rPr>
        <w:t xml:space="preserve">   →   </w:t>
      </w:r>
      <w:r>
        <w:rPr>
          <w:rFonts w:ascii="Arial" w:cs="Arial" w:eastAsia="Arial" w:hAnsi="Arial"/>
          <w:b/>
          <w:bCs/>
          <w:color w:val="082538"/>
          <w:spacing w:val="20"/>
          <w:sz w:val="17"/>
          <w:szCs w:val="17"/>
        </w:rPr>
        <w:t xml:space="preserve">CRONOGRAMA</w:t>
      </w:r>
      <w:r>
        <w:rPr>
          <w:rFonts w:ascii="Arial" w:cs="Arial" w:eastAsia="Arial" w:hAnsi="Arial"/>
          <w:color w:val="B58A44"/>
          <w:sz w:val="20"/>
          <w:szCs w:val="20"/>
        </w:rPr>
        <w:t xml:space="preserve">   →   </w:t>
      </w:r>
      <w:r>
        <w:rPr>
          <w:rFonts w:ascii="Arial" w:cs="Arial" w:eastAsia="Arial" w:hAnsi="Arial"/>
          <w:b/>
          <w:bCs/>
          <w:color w:val="082538"/>
          <w:spacing w:val="20"/>
          <w:sz w:val="17"/>
          <w:szCs w:val="17"/>
        </w:rPr>
        <w:t xml:space="preserve">VENDAS</w:t>
      </w:r>
    </w:p>
    <w:p>
      <w:pPr>
        <w:spacing w:after="160" w:line="300"/>
      </w:pPr>
      <w:r>
        <w:rPr>
          <w:rFonts w:ascii="Arial" w:cs="Arial" w:eastAsia="Arial" w:hAnsi="Arial"/>
          <w:color w:val="47586A"/>
          <w:sz w:val="19"/>
          <w:szCs w:val="19"/>
        </w:rPr>
        <w:t xml:space="preserve">O produto define o orçamento. O orçamento define o caixa. O caixa define o capital necessário, que define o cronograma, que define as vendas. Modelar é enxergar essa cadeia antes que ela aconteça.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7A5A28"/>
          <w:spacing w:val="40"/>
          <w:sz w:val="15"/>
          <w:szCs w:val="15"/>
        </w:rPr>
        <w:t xml:space="preserve">TUDO CONECTADO</w:t>
      </w:r>
    </w:p>
    <w:p>
      <w:pPr>
        <w:pStyle w:val="Heading1"/>
        <w:spacing w:after="240" w:before="80"/>
      </w:pPr>
      <w:r>
        <w:rPr>
          <w:rFonts w:ascii="Georgia" w:cs="Georgia" w:eastAsia="Georgia" w:hAnsi="Georgia"/>
          <w:b/>
          <w:bCs/>
          <w:color w:val="082538"/>
          <w:sz w:val="40"/>
          <w:szCs w:val="40"/>
        </w:rPr>
        <w:t xml:space="preserve">Um empreendimento se decide em dez frentes ao mesmo tempo.</w:t>
      </w:r>
    </w:p>
    <w:p>
      <w:pPr>
        <w:spacing w:after="160"/>
      </w:pPr>
      <w:r>
        <w:drawing>
          <wp:inline distT="0" distB="0" distL="0" distR="0">
            <wp:extent cx="6124575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82538"/>
          <w:sz w:val="28"/>
          <w:szCs w:val="28"/>
        </w:rPr>
        <w:t xml:space="preserve">Como ler a imagem</w:t>
      </w:r>
    </w:p>
    <w:p>
      <w:pPr>
        <w:spacing w:after="160" w:line="300"/>
      </w:pPr>
      <w:r>
        <w:rPr>
          <w:rFonts w:ascii="Arial" w:cs="Arial" w:eastAsia="Arial" w:hAnsi="Arial"/>
          <w:color w:val="1B2A36"/>
          <w:sz w:val="21"/>
          <w:szCs w:val="21"/>
        </w:rPr>
        <w:t xml:space="preserve">No centro, o empreendimento. Em volta, uma rede: cada ponto é uma decisão, cada linha é uma consequência. Nenhuma frente está isolada. Puxar uma delas desloca as vizinhas, e o efeito chega ao caixa.</w:t>
      </w:r>
    </w:p>
    <w:p>
      <w:pPr>
        <w:spacing w:after="160" w:line="300"/>
      </w:pPr>
      <w:r>
        <w:rPr>
          <w:rFonts w:ascii="Arial" w:cs="Arial" w:eastAsia="Arial" w:hAnsi="Arial"/>
          <w:color w:val="1B2A36"/>
          <w:sz w:val="21"/>
          <w:szCs w:val="21"/>
        </w:rPr>
        <w:t xml:space="preserve">Nas páginas seguintes, a rede troca de palavras a cada frente: as decisões que ela carrega e as outras frentes que ela move.</w:t>
      </w:r>
    </w:p>
    <w:p>
      <w:pPr>
        <w:spacing w:after="160" w:line="300"/>
      </w:pPr>
      <w:r>
        <w:rPr>
          <w:rFonts w:ascii="Arial" w:cs="Arial" w:eastAsia="Arial" w:hAnsi="Arial"/>
          <w:color w:val="1B2A36"/>
          <w:sz w:val="21"/>
          <w:szCs w:val="21"/>
        </w:rPr>
        <w:t xml:space="preserve">As dez frentes se agrupam em três vertentes: empreendimento, empresa e capital. O projeto costuma ficar com o arquiteto, a empresa com o contador, o capital com o banco. Estruturar é decidir as três de uma vez.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A28"/>
          <w:spacing w:val="40"/>
          <w:sz w:val="15"/>
          <w:szCs w:val="15"/>
        </w:rPr>
        <w:t xml:space="preserve">AS DEZ FRENTES, POR VERTENTE</w:t>
      </w: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B58A44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082538"/>
                <w:sz w:val="23"/>
                <w:szCs w:val="23"/>
              </w:rPr>
              <w:t xml:space="preserve">Empreendimento</w:t>
            </w:r>
          </w:p>
          <w:p>
            <w:pPr>
              <w:spacing w:after="120" w:line="300"/>
            </w:pPr>
            <w:r>
              <w:rPr>
                <w:rFonts w:ascii="Arial" w:cs="Arial" w:eastAsia="Arial" w:hAnsi="Arial"/>
                <w:color w:val="47586A"/>
                <w:sz w:val="16"/>
                <w:szCs w:val="16"/>
              </w:rPr>
              <w:t xml:space="preserve">O que vai ser construído, onde, para quem e por quanto.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5A28"/>
                <w:sz w:val="16"/>
                <w:szCs w:val="16"/>
              </w:rPr>
              <w:t xml:space="preserve">01   </w:t>
            </w:r>
            <w:r>
              <w:rPr>
                <w:rFonts w:ascii="Arial" w:cs="Arial" w:eastAsia="Arial" w:hAnsi="Arial"/>
                <w:color w:val="082538"/>
                <w:sz w:val="19"/>
                <w:szCs w:val="19"/>
              </w:rPr>
              <w:t xml:space="preserve">Terreno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5A28"/>
                <w:sz w:val="16"/>
                <w:szCs w:val="16"/>
              </w:rPr>
              <w:t xml:space="preserve">02   </w:t>
            </w:r>
            <w:r>
              <w:rPr>
                <w:rFonts w:ascii="Arial" w:cs="Arial" w:eastAsia="Arial" w:hAnsi="Arial"/>
                <w:color w:val="082538"/>
                <w:sz w:val="19"/>
                <w:szCs w:val="19"/>
              </w:rPr>
              <w:t xml:space="preserve">Produto e mercado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5A28"/>
                <w:sz w:val="16"/>
                <w:szCs w:val="16"/>
              </w:rPr>
              <w:t xml:space="preserve">03   </w:t>
            </w:r>
            <w:r>
              <w:rPr>
                <w:rFonts w:ascii="Arial" w:cs="Arial" w:eastAsia="Arial" w:hAnsi="Arial"/>
                <w:color w:val="082538"/>
                <w:sz w:val="19"/>
                <w:szCs w:val="19"/>
              </w:rPr>
              <w:t xml:space="preserve">Técnica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5A28"/>
                <w:sz w:val="16"/>
                <w:szCs w:val="16"/>
              </w:rPr>
              <w:t xml:space="preserve">09   </w:t>
            </w:r>
            <w:r>
              <w:rPr>
                <w:rFonts w:ascii="Arial" w:cs="Arial" w:eastAsia="Arial" w:hAnsi="Arial"/>
                <w:color w:val="082538"/>
                <w:sz w:val="19"/>
                <w:szCs w:val="19"/>
              </w:rPr>
              <w:t xml:space="preserve">Comercialização</w:t>
            </w:r>
          </w:p>
        </w:tc>
        <w:tc>
          <w:tcPr>
            <w:tcW w:type="dxa" w:w="3212"/>
            <w:tcBorders>
              <w:top w:val="single" w:color="B58A44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082538"/>
                <w:sz w:val="23"/>
                <w:szCs w:val="23"/>
              </w:rPr>
              <w:t xml:space="preserve">Empresa</w:t>
            </w:r>
          </w:p>
          <w:p>
            <w:pPr>
              <w:spacing w:after="120" w:line="300"/>
            </w:pPr>
            <w:r>
              <w:rPr>
                <w:rFonts w:ascii="Arial" w:cs="Arial" w:eastAsia="Arial" w:hAnsi="Arial"/>
                <w:color w:val="47586A"/>
                <w:sz w:val="16"/>
                <w:szCs w:val="16"/>
              </w:rPr>
              <w:t xml:space="preserve">Quem constrói, com qual sociedade e com que fôlego.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5A28"/>
                <w:sz w:val="16"/>
                <w:szCs w:val="16"/>
              </w:rPr>
              <w:t xml:space="preserve">04   </w:t>
            </w:r>
            <w:r>
              <w:rPr>
                <w:rFonts w:ascii="Arial" w:cs="Arial" w:eastAsia="Arial" w:hAnsi="Arial"/>
                <w:color w:val="082538"/>
                <w:sz w:val="19"/>
                <w:szCs w:val="19"/>
              </w:rPr>
              <w:t xml:space="preserve">Jurídico e regulatório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5A28"/>
                <w:sz w:val="16"/>
                <w:szCs w:val="16"/>
              </w:rPr>
              <w:t xml:space="preserve">05   </w:t>
            </w:r>
            <w:r>
              <w:rPr>
                <w:rFonts w:ascii="Arial" w:cs="Arial" w:eastAsia="Arial" w:hAnsi="Arial"/>
                <w:color w:val="082538"/>
                <w:sz w:val="19"/>
                <w:szCs w:val="19"/>
              </w:rPr>
              <w:t xml:space="preserve">Societário e governança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5A28"/>
                <w:sz w:val="16"/>
                <w:szCs w:val="16"/>
              </w:rPr>
              <w:t xml:space="preserve">06   </w:t>
            </w:r>
            <w:r>
              <w:rPr>
                <w:rFonts w:ascii="Arial" w:cs="Arial" w:eastAsia="Arial" w:hAnsi="Arial"/>
                <w:color w:val="082538"/>
                <w:sz w:val="19"/>
                <w:szCs w:val="19"/>
              </w:rPr>
              <w:t xml:space="preserve">Tributário</w:t>
            </w:r>
          </w:p>
        </w:tc>
        <w:tc>
          <w:tcPr>
            <w:tcW w:type="dxa" w:w="3212"/>
            <w:tcBorders>
              <w:top w:val="single" w:color="B58A44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082538"/>
                <w:sz w:val="23"/>
                <w:szCs w:val="23"/>
              </w:rPr>
              <w:t xml:space="preserve">Capital</w:t>
            </w:r>
          </w:p>
          <w:p>
            <w:pPr>
              <w:spacing w:after="120" w:line="300"/>
            </w:pPr>
            <w:r>
              <w:rPr>
                <w:rFonts w:ascii="Arial" w:cs="Arial" w:eastAsia="Arial" w:hAnsi="Arial"/>
                <w:color w:val="47586A"/>
                <w:sz w:val="16"/>
                <w:szCs w:val="16"/>
              </w:rPr>
              <w:t xml:space="preserve">De onde vem o dinheiro, quando entra e quanto custa.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5A28"/>
                <w:sz w:val="16"/>
                <w:szCs w:val="16"/>
              </w:rPr>
              <w:t xml:space="preserve">07   </w:t>
            </w:r>
            <w:r>
              <w:rPr>
                <w:rFonts w:ascii="Arial" w:cs="Arial" w:eastAsia="Arial" w:hAnsi="Arial"/>
                <w:color w:val="082538"/>
                <w:sz w:val="19"/>
                <w:szCs w:val="19"/>
              </w:rPr>
              <w:t xml:space="preserve">Econômico-financeiro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5A28"/>
                <w:sz w:val="16"/>
                <w:szCs w:val="16"/>
              </w:rPr>
              <w:t xml:space="preserve">08   </w:t>
            </w:r>
            <w:r>
              <w:rPr>
                <w:rFonts w:ascii="Arial" w:cs="Arial" w:eastAsia="Arial" w:hAnsi="Arial"/>
                <w:color w:val="082538"/>
                <w:sz w:val="19"/>
                <w:szCs w:val="19"/>
              </w:rPr>
              <w:t xml:space="preserve">Capital e funding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5A28"/>
                <w:sz w:val="16"/>
                <w:szCs w:val="16"/>
              </w:rPr>
              <w:t xml:space="preserve">10   </w:t>
            </w:r>
            <w:r>
              <w:rPr>
                <w:rFonts w:ascii="Arial" w:cs="Arial" w:eastAsia="Arial" w:hAnsi="Arial"/>
                <w:color w:val="082538"/>
                <w:sz w:val="19"/>
                <w:szCs w:val="19"/>
              </w:rPr>
              <w:t xml:space="preserve">Risco e retorno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spacing w:after="160"/>
      </w:pPr>
      <w:r>
        <w:drawing>
          <wp:inline distT="0" distB="0" distL="0" distR="0">
            <wp:extent cx="6124575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B58A44"/>
          <w:sz w:val="60"/>
          <w:szCs w:val="60"/>
        </w:rPr>
        <w:t xml:space="preserve">01  </w:t>
      </w:r>
      <w:r>
        <w:rPr>
          <w:rFonts w:ascii="Georgia" w:cs="Georgia" w:eastAsia="Georgia" w:hAnsi="Georgia"/>
          <w:b/>
          <w:bCs/>
          <w:color w:val="082538"/>
          <w:sz w:val="44"/>
          <w:szCs w:val="44"/>
        </w:rPr>
        <w:t xml:space="preserve">Terreno</w:t>
      </w:r>
    </w:p>
    <w:p>
      <w:pPr>
        <w:pBdr>
          <w:left w:val="single" w:color="B58A44" w:sz="18" w:space="12"/>
        </w:pBdr>
        <w:spacing w:after="240" w:before="120" w:line="300"/>
        <w:ind w:left="240"/>
      </w:pPr>
      <w:r>
        <w:rPr>
          <w:rFonts w:ascii="Georgia" w:cs="Georgia" w:eastAsia="Georgia" w:hAnsi="Georgia"/>
          <w:color w:val="082538"/>
          <w:sz w:val="26"/>
          <w:szCs w:val="26"/>
        </w:rPr>
        <w:t xml:space="preserve">Estruturar o terreno é definir a base jurídica, econômica e negocial sobre a qual todo o empreendimento será construído.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19"/>
        <w:gridCol w:w="4919"/>
      </w:tblGrid>
      <w:t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O QUE ESTÁ EM JOGO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color w:val="1B2A36"/>
                <w:sz w:val="20"/>
                <w:szCs w:val="20"/>
              </w:rPr>
              <w:t xml:space="preserve">A forma de acesso ao terreno define quem corre o risco e quando o caixa sai. Comprar à vista, permutar por unidades ou montar uma parceria são negócios diferentes sobre o mesmo lote.</w:t>
            </w:r>
          </w:p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A PERGUNTA QUE A MODELAGEM RESPONDE</w:t>
            </w:r>
          </w:p>
          <w:p>
            <w:pPr>
              <w:spacing w:after="0" w:line="300"/>
            </w:pPr>
            <w:r>
              <w:rPr>
                <w:rFonts w:ascii="Georgia" w:cs="Georgia" w:eastAsia="Georgia" w:hAnsi="Georgia"/>
                <w:i/>
                <w:iCs/>
                <w:color w:val="082538"/>
                <w:sz w:val="22"/>
                <w:szCs w:val="22"/>
              </w:rPr>
              <w:t xml:space="preserve">Qual forma de acesso ao terreno preserva caixa sem comprometer a segurança jurídica?</w:t>
            </w:r>
          </w:p>
        </w:tc>
        <w:tc>
          <w:tcPr>
            <w:tcW w:type="dxa" w:w="49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DECISÕES DESTA FRENTE</w:t>
            </w:r>
          </w:p>
          <w:tbl>
            <w:tblPr>
              <w:tblW w:type="dxa" w:w="481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204"/>
              <w:gridCol w:w="1204"/>
              <w:gridCol w:w="1204"/>
              <w:gridCol w:w="1204"/>
            </w:tblGrid>
            <w:tr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Compra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Permuta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Opção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Parceria</w:t>
                  </w:r>
                </w:p>
              </w:tc>
            </w:tr>
            <w:tr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Aporte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Prazo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Due diligence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Regularização</w:t>
                  </w:r>
                </w:p>
              </w:tc>
            </w:tr>
          </w:tbl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TAMBÉM MOVE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7A5A28"/>
                <w:sz w:val="21"/>
                <w:szCs w:val="21"/>
              </w:rPr>
              <w:t xml:space="preserve">Produto e mercado · Jurídico e regulatório · Capital e funding</w:t>
            </w:r>
          </w:p>
        </w:tc>
      </w:tr>
    </w:tbl>
    <w:p>
      <w:pPr>
        <w:sectPr>
          <w:headerReference w:type="default" r:id="rId11"/>
          <w:footerReference w:type="default" r:id="rId12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spacing w:after="160"/>
      </w:pPr>
      <w:r>
        <w:drawing>
          <wp:inline distT="0" distB="0" distL="0" distR="0">
            <wp:extent cx="6124575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B58A44"/>
          <w:sz w:val="60"/>
          <w:szCs w:val="60"/>
        </w:rPr>
        <w:t xml:space="preserve">02  </w:t>
      </w:r>
      <w:r>
        <w:rPr>
          <w:rFonts w:ascii="Georgia" w:cs="Georgia" w:eastAsia="Georgia" w:hAnsi="Georgia"/>
          <w:b/>
          <w:bCs/>
          <w:color w:val="082538"/>
          <w:sz w:val="44"/>
          <w:szCs w:val="44"/>
        </w:rPr>
        <w:t xml:space="preserve">Produto e mercado</w:t>
      </w:r>
    </w:p>
    <w:p>
      <w:pPr>
        <w:pBdr>
          <w:left w:val="single" w:color="B58A44" w:sz="18" w:space="12"/>
        </w:pBdr>
        <w:spacing w:after="240" w:before="120" w:line="300"/>
        <w:ind w:left="240"/>
      </w:pPr>
      <w:r>
        <w:rPr>
          <w:rFonts w:ascii="Georgia" w:cs="Georgia" w:eastAsia="Georgia" w:hAnsi="Georgia"/>
          <w:color w:val="082538"/>
          <w:sz w:val="26"/>
          <w:szCs w:val="26"/>
        </w:rPr>
        <w:t xml:space="preserve">Estruturar o produto é transformar o potencial do terreno em uma oferta aderente à demanda, ao preço e à capacidade de absorção do mercado.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19"/>
        <w:gridCol w:w="4919"/>
      </w:tblGrid>
      <w:t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O QUE ESTÁ EM JOGO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color w:val="1B2A36"/>
                <w:sz w:val="20"/>
                <w:szCs w:val="20"/>
              </w:rPr>
              <w:t xml:space="preserve">O produto é a primeira decisão que muda todas as outras. Tipologia, mix e ticket definem o VGV, o custo e a velocidade de vendas.</w:t>
            </w:r>
          </w:p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A PERGUNTA QUE A MODELAGEM RESPONDE</w:t>
            </w:r>
          </w:p>
          <w:p>
            <w:pPr>
              <w:spacing w:after="0" w:line="300"/>
            </w:pPr>
            <w:r>
              <w:rPr>
                <w:rFonts w:ascii="Georgia" w:cs="Georgia" w:eastAsia="Georgia" w:hAnsi="Georgia"/>
                <w:i/>
                <w:iCs/>
                <w:color w:val="082538"/>
                <w:sz w:val="22"/>
                <w:szCs w:val="22"/>
              </w:rPr>
              <w:t xml:space="preserve">Que produto este terreno e este mercado absorvem no preço e no prazo que o negócio precisa?</w:t>
            </w:r>
          </w:p>
        </w:tc>
        <w:tc>
          <w:tcPr>
            <w:tcW w:type="dxa" w:w="49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DECISÕES DESTA FRENTE</w:t>
            </w:r>
          </w:p>
          <w:tbl>
            <w:tblPr>
              <w:tblW w:type="dxa" w:w="481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204"/>
              <w:gridCol w:w="1204"/>
              <w:gridCol w:w="1204"/>
              <w:gridCol w:w="1204"/>
            </w:tblGrid>
            <w:tr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Público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Tipologia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Mix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Área</w:t>
                  </w:r>
                </w:p>
              </w:tc>
            </w:tr>
            <w:tr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Ticket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Preço por m²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VGV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Demanda</w:t>
                  </w:r>
                </w:p>
              </w:tc>
            </w:tr>
            <w:tr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Absorção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Lançamento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TAMBÉM MOVE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7A5A28"/>
                <w:sz w:val="21"/>
                <w:szCs w:val="21"/>
              </w:rPr>
              <w:t xml:space="preserve">Técnica · Comercialização · Econômico-financeiro</w:t>
            </w:r>
          </w:p>
        </w:tc>
      </w:tr>
    </w:tbl>
    <w:p>
      <w:pPr>
        <w:sectPr>
          <w:headerReference w:type="default" r:id="rId13"/>
          <w:footerReference w:type="default" r:id="rId14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spacing w:after="160"/>
      </w:pPr>
      <w:r>
        <w:drawing>
          <wp:inline distT="0" distB="0" distL="0" distR="0">
            <wp:extent cx="6124575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B58A44"/>
          <w:sz w:val="60"/>
          <w:szCs w:val="60"/>
        </w:rPr>
        <w:t xml:space="preserve">03  </w:t>
      </w:r>
      <w:r>
        <w:rPr>
          <w:rFonts w:ascii="Georgia" w:cs="Georgia" w:eastAsia="Georgia" w:hAnsi="Georgia"/>
          <w:b/>
          <w:bCs/>
          <w:color w:val="082538"/>
          <w:sz w:val="44"/>
          <w:szCs w:val="44"/>
        </w:rPr>
        <w:t xml:space="preserve">Técnica</w:t>
      </w:r>
    </w:p>
    <w:p>
      <w:pPr>
        <w:pBdr>
          <w:left w:val="single" w:color="B58A44" w:sz="18" w:space="12"/>
        </w:pBdr>
        <w:spacing w:after="240" w:before="120" w:line="300"/>
        <w:ind w:left="240"/>
      </w:pPr>
      <w:r>
        <w:rPr>
          <w:rFonts w:ascii="Georgia" w:cs="Georgia" w:eastAsia="Georgia" w:hAnsi="Georgia"/>
          <w:color w:val="082538"/>
          <w:sz w:val="26"/>
          <w:szCs w:val="26"/>
        </w:rPr>
        <w:t xml:space="preserve">Estruturar tecnicamente é converter o produto idealizado em uma solução executável, eficiente e compatível com custo, prazo e qualidade.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19"/>
        <w:gridCol w:w="4919"/>
      </w:tblGrid>
      <w:t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O QUE ESTÁ EM JOGO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color w:val="1B2A36"/>
                <w:sz w:val="20"/>
                <w:szCs w:val="20"/>
              </w:rPr>
              <w:t xml:space="preserve">A solução técnica transforma o produto em custo e prazo. Implantação, sistema construtivo e fases determinam o orçamento e o cronograma que o caixa terá de suportar.</w:t>
            </w:r>
          </w:p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A PERGUNTA QUE A MODELAGEM RESPONDE</w:t>
            </w:r>
          </w:p>
          <w:p>
            <w:pPr>
              <w:spacing w:after="0" w:line="300"/>
            </w:pPr>
            <w:r>
              <w:rPr>
                <w:rFonts w:ascii="Georgia" w:cs="Georgia" w:eastAsia="Georgia" w:hAnsi="Georgia"/>
                <w:i/>
                <w:iCs/>
                <w:color w:val="082538"/>
                <w:sz w:val="22"/>
                <w:szCs w:val="22"/>
              </w:rPr>
              <w:t xml:space="preserve">Qual solução técnica entrega o produto com o custo e o prazo que o fluxo de caixa comporta?</w:t>
            </w:r>
          </w:p>
        </w:tc>
        <w:tc>
          <w:tcPr>
            <w:tcW w:type="dxa" w:w="49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DECISÕES DESTA FRENTE</w:t>
            </w:r>
          </w:p>
          <w:tbl>
            <w:tblPr>
              <w:tblW w:type="dxa" w:w="481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204"/>
              <w:gridCol w:w="1204"/>
              <w:gridCol w:w="1204"/>
              <w:gridCol w:w="1204"/>
            </w:tblGrid>
            <w:tr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Implantação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Eficiência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Projetos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Sistema construtivo</w:t>
                  </w:r>
                </w:p>
              </w:tc>
            </w:tr>
            <w:tr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Compatibilização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Infraestrutura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Fases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Orçamento</w:t>
                  </w:r>
                </w:p>
              </w:tc>
            </w:tr>
            <w:tr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Cronograma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TAMBÉM MOVE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7A5A28"/>
                <w:sz w:val="21"/>
                <w:szCs w:val="21"/>
              </w:rPr>
              <w:t xml:space="preserve">Econômico-financeiro · Produto e mercado · Comercialização</w:t>
            </w:r>
          </w:p>
        </w:tc>
      </w:tr>
    </w:tbl>
    <w:p>
      <w:pPr>
        <w:sectPr>
          <w:headerReference w:type="default" r:id="rId15"/>
          <w:footerReference w:type="default" r:id="rId16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spacing w:after="160"/>
      </w:pPr>
      <w:r>
        <w:drawing>
          <wp:inline distT="0" distB="0" distL="0" distR="0">
            <wp:extent cx="6124575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B58A44"/>
          <w:sz w:val="60"/>
          <w:szCs w:val="60"/>
        </w:rPr>
        <w:t xml:space="preserve">04  </w:t>
      </w:r>
      <w:r>
        <w:rPr>
          <w:rFonts w:ascii="Georgia" w:cs="Georgia" w:eastAsia="Georgia" w:hAnsi="Georgia"/>
          <w:b/>
          <w:bCs/>
          <w:color w:val="082538"/>
          <w:sz w:val="44"/>
          <w:szCs w:val="44"/>
        </w:rPr>
        <w:t xml:space="preserve">Jurídico e regulatório</w:t>
      </w:r>
    </w:p>
    <w:p>
      <w:pPr>
        <w:pBdr>
          <w:left w:val="single" w:color="B58A44" w:sz="18" w:space="12"/>
        </w:pBdr>
        <w:spacing w:after="240" w:before="120" w:line="300"/>
        <w:ind w:left="240"/>
      </w:pPr>
      <w:r>
        <w:rPr>
          <w:rFonts w:ascii="Georgia" w:cs="Georgia" w:eastAsia="Georgia" w:hAnsi="Georgia"/>
          <w:color w:val="082538"/>
          <w:sz w:val="26"/>
          <w:szCs w:val="26"/>
        </w:rPr>
        <w:t xml:space="preserve">Estruturar juridicamente é criar segurança para desenvolver, contratar, financiar, comercializar e concluir o empreendimento.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19"/>
        <w:gridCol w:w="4919"/>
      </w:tblGrid>
      <w:t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O QUE ESTÁ EM JOGO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color w:val="1B2A36"/>
                <w:sz w:val="20"/>
                <w:szCs w:val="20"/>
              </w:rPr>
              <w:t xml:space="preserve">Sem base jurídica, nenhuma frente se sustenta. Matrícula, licenças, memorial e contratos são o que permite registrar, financiar e vender.</w:t>
            </w:r>
          </w:p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A PERGUNTA QUE A MODELAGEM RESPONDE</w:t>
            </w:r>
          </w:p>
          <w:p>
            <w:pPr>
              <w:spacing w:after="0" w:line="300"/>
            </w:pPr>
            <w:r>
              <w:rPr>
                <w:rFonts w:ascii="Georgia" w:cs="Georgia" w:eastAsia="Georgia" w:hAnsi="Georgia"/>
                <w:i/>
                <w:iCs/>
                <w:color w:val="082538"/>
                <w:sz w:val="22"/>
                <w:szCs w:val="22"/>
              </w:rPr>
              <w:t xml:space="preserve">O empreendimento pode ser registrado, financiado e comercializado com segurança em cada etapa?</w:t>
            </w:r>
          </w:p>
        </w:tc>
        <w:tc>
          <w:tcPr>
            <w:tcW w:type="dxa" w:w="49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DECISÕES DESTA FRENTE</w:t>
            </w:r>
          </w:p>
          <w:tbl>
            <w:tblPr>
              <w:tblW w:type="dxa" w:w="481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204"/>
              <w:gridCol w:w="1204"/>
              <w:gridCol w:w="1204"/>
              <w:gridCol w:w="1204"/>
            </w:tblGrid>
            <w:tr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Matrícula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Licenças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Incorporação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Memorial</w:t>
                  </w:r>
                </w:p>
              </w:tc>
            </w:tr>
            <w:tr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Contratos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Permutas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Parcerias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Garantias</w:t>
                  </w:r>
                </w:p>
              </w:tc>
            </w:tr>
            <w:tr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Registros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TAMBÉM MOVE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7A5A28"/>
                <w:sz w:val="21"/>
                <w:szCs w:val="21"/>
              </w:rPr>
              <w:t xml:space="preserve">Societário e governança · Capital e funding · Comercialização</w:t>
            </w:r>
          </w:p>
        </w:tc>
      </w:tr>
    </w:tbl>
    <w:p>
      <w:pPr>
        <w:sectPr>
          <w:headerReference w:type="default" r:id="rId17"/>
          <w:footerReference w:type="default" r:id="rId18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spacing w:after="160"/>
      </w:pPr>
      <w:r>
        <w:drawing>
          <wp:inline distT="0" distB="0" distL="0" distR="0">
            <wp:extent cx="6124575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B58A44"/>
          <w:sz w:val="60"/>
          <w:szCs w:val="60"/>
        </w:rPr>
        <w:t xml:space="preserve">05  </w:t>
      </w:r>
      <w:r>
        <w:rPr>
          <w:rFonts w:ascii="Georgia" w:cs="Georgia" w:eastAsia="Georgia" w:hAnsi="Georgia"/>
          <w:b/>
          <w:bCs/>
          <w:color w:val="082538"/>
          <w:sz w:val="44"/>
          <w:szCs w:val="44"/>
        </w:rPr>
        <w:t xml:space="preserve">Societário e governança</w:t>
      </w:r>
    </w:p>
    <w:p>
      <w:pPr>
        <w:pBdr>
          <w:left w:val="single" w:color="B58A44" w:sz="18" w:space="12"/>
        </w:pBdr>
        <w:spacing w:after="240" w:before="120" w:line="300"/>
        <w:ind w:left="240"/>
      </w:pPr>
      <w:r>
        <w:rPr>
          <w:rFonts w:ascii="Georgia" w:cs="Georgia" w:eastAsia="Georgia" w:hAnsi="Georgia"/>
          <w:color w:val="082538"/>
          <w:sz w:val="26"/>
          <w:szCs w:val="26"/>
        </w:rPr>
        <w:t xml:space="preserve">Estruturar a sociedade é definir quem participa, quanto aporta, como decide, como assume riscos e como recebe resultados.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19"/>
        <w:gridCol w:w="4919"/>
      </w:tblGrid>
      <w:t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O QUE ESTÁ EM JOGO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color w:val="1B2A36"/>
                <w:sz w:val="20"/>
                <w:szCs w:val="20"/>
              </w:rPr>
              <w:t xml:space="preserve">A sociedade define quem decide, quem aporta e quem recebe. A escolha entre SPE, SCP e holding muda o risco, o tributo e o acesso ao capital.</w:t>
            </w:r>
          </w:p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A PERGUNTA QUE A MODELAGEM RESPONDE</w:t>
            </w:r>
          </w:p>
          <w:p>
            <w:pPr>
              <w:spacing w:after="0" w:line="300"/>
            </w:pPr>
            <w:r>
              <w:rPr>
                <w:rFonts w:ascii="Georgia" w:cs="Georgia" w:eastAsia="Georgia" w:hAnsi="Georgia"/>
                <w:i/>
                <w:iCs/>
                <w:color w:val="082538"/>
                <w:sz w:val="22"/>
                <w:szCs w:val="22"/>
              </w:rPr>
              <w:t xml:space="preserve">Que estrutura societária isola riscos, organiza aportes e distribui resultados com clareza?</w:t>
            </w:r>
          </w:p>
        </w:tc>
        <w:tc>
          <w:tcPr>
            <w:tcW w:type="dxa" w:w="49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DECISÕES DESTA FRENTE</w:t>
            </w:r>
          </w:p>
          <w:tbl>
            <w:tblPr>
              <w:tblW w:type="dxa" w:w="481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204"/>
              <w:gridCol w:w="1204"/>
              <w:gridCol w:w="1204"/>
              <w:gridCol w:w="1204"/>
            </w:tblGrid>
            <w:tr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SPE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SCP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Holding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Sócios</w:t>
                  </w:r>
                </w:p>
              </w:tc>
            </w:tr>
            <w:tr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Investidores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Participações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Aportes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Governança</w:t>
                  </w:r>
                </w:p>
              </w:tc>
            </w:tr>
            <w:tr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Saída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Isolamento de risco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TAMBÉM MOVE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7A5A28"/>
                <w:sz w:val="21"/>
                <w:szCs w:val="21"/>
              </w:rPr>
              <w:t xml:space="preserve">Tributário · Risco e retorno · Capital e funding</w:t>
            </w:r>
          </w:p>
        </w:tc>
      </w:tr>
    </w:tbl>
    <w:p>
      <w:pPr>
        <w:sectPr>
          <w:headerReference w:type="default" r:id="rId19"/>
          <w:footerReference w:type="default" r:id="rId20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spacing w:after="160"/>
      </w:pPr>
      <w:r>
        <w:drawing>
          <wp:inline distT="0" distB="0" distL="0" distR="0">
            <wp:extent cx="6124575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B58A44"/>
          <w:sz w:val="60"/>
          <w:szCs w:val="60"/>
        </w:rPr>
        <w:t xml:space="preserve">06  </w:t>
      </w:r>
      <w:r>
        <w:rPr>
          <w:rFonts w:ascii="Georgia" w:cs="Georgia" w:eastAsia="Georgia" w:hAnsi="Georgia"/>
          <w:b/>
          <w:bCs/>
          <w:color w:val="082538"/>
          <w:sz w:val="44"/>
          <w:szCs w:val="44"/>
        </w:rPr>
        <w:t xml:space="preserve">Tributário</w:t>
      </w:r>
    </w:p>
    <w:p>
      <w:pPr>
        <w:pBdr>
          <w:left w:val="single" w:color="B58A44" w:sz="18" w:space="12"/>
        </w:pBdr>
        <w:spacing w:after="240" w:before="120" w:line="300"/>
        <w:ind w:left="240"/>
      </w:pPr>
      <w:r>
        <w:rPr>
          <w:rFonts w:ascii="Georgia" w:cs="Georgia" w:eastAsia="Georgia" w:hAnsi="Georgia"/>
          <w:color w:val="082538"/>
          <w:sz w:val="26"/>
          <w:szCs w:val="26"/>
        </w:rPr>
        <w:t xml:space="preserve">Estruturar a tributação é adequar a operação ao regime mais eficiente e coerente com o modelo societário, comercial e financeiro.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19"/>
        <w:gridCol w:w="4919"/>
      </w:tblGrid>
      <w:t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O QUE ESTÁ EM JOGO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color w:val="1B2A36"/>
                <w:sz w:val="20"/>
                <w:szCs w:val="20"/>
              </w:rPr>
              <w:t xml:space="preserve">O regime tributário acompanha a estrutura, não o contrário. RET, presumido ou real dependem do que foi decidido no societário, no comercial e no financeiro.</w:t>
            </w:r>
          </w:p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A PERGUNTA QUE A MODELAGEM RESPONDE</w:t>
            </w:r>
          </w:p>
          <w:p>
            <w:pPr>
              <w:spacing w:after="0" w:line="300"/>
            </w:pPr>
            <w:r>
              <w:rPr>
                <w:rFonts w:ascii="Georgia" w:cs="Georgia" w:eastAsia="Georgia" w:hAnsi="Georgia"/>
                <w:i/>
                <w:iCs/>
                <w:color w:val="082538"/>
                <w:sz w:val="22"/>
                <w:szCs w:val="22"/>
              </w:rPr>
              <w:t xml:space="preserve">Qual regime é mais eficiente e coerente com a forma como o negócio foi montado?</w:t>
            </w:r>
          </w:p>
        </w:tc>
        <w:tc>
          <w:tcPr>
            <w:tcW w:type="dxa" w:w="49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DECISÕES DESTA FRENTE</w:t>
            </w:r>
          </w:p>
          <w:tbl>
            <w:tblPr>
              <w:tblW w:type="dxa" w:w="481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204"/>
              <w:gridCol w:w="1204"/>
              <w:gridCol w:w="1204"/>
              <w:gridCol w:w="1204"/>
            </w:tblGrid>
            <w:tr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RET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Presumido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Real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Afetação</w:t>
                  </w:r>
                </w:p>
              </w:tc>
            </w:tr>
            <w:tr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Permuta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Integralização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Ganho de capital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Distribuição</w:t>
                  </w:r>
                </w:p>
              </w:tc>
            </w:tr>
          </w:tbl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TAMBÉM MOVE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7A5A28"/>
                <w:sz w:val="21"/>
                <w:szCs w:val="21"/>
              </w:rPr>
              <w:t xml:space="preserve">Econômico-financeiro · Societário e governança · Terreno</w:t>
            </w:r>
          </w:p>
        </w:tc>
      </w:tr>
    </w:tbl>
    <w:p>
      <w:pPr>
        <w:sectPr>
          <w:headerReference w:type="default" r:id="rId21"/>
          <w:footerReference w:type="default" r:id="rId22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spacing w:after="160"/>
      </w:pPr>
      <w:r>
        <w:drawing>
          <wp:inline distT="0" distB="0" distL="0" distR="0">
            <wp:extent cx="6124575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B58A44"/>
          <w:sz w:val="60"/>
          <w:szCs w:val="60"/>
        </w:rPr>
        <w:t xml:space="preserve">07  </w:t>
      </w:r>
      <w:r>
        <w:rPr>
          <w:rFonts w:ascii="Georgia" w:cs="Georgia" w:eastAsia="Georgia" w:hAnsi="Georgia"/>
          <w:b/>
          <w:bCs/>
          <w:color w:val="082538"/>
          <w:sz w:val="44"/>
          <w:szCs w:val="44"/>
        </w:rPr>
        <w:t xml:space="preserve">Econômico-financeiro</w:t>
      </w:r>
    </w:p>
    <w:p>
      <w:pPr>
        <w:pBdr>
          <w:left w:val="single" w:color="B58A44" w:sz="18" w:space="12"/>
        </w:pBdr>
        <w:spacing w:after="240" w:before="120" w:line="300"/>
        <w:ind w:left="240"/>
      </w:pPr>
      <w:r>
        <w:rPr>
          <w:rFonts w:ascii="Georgia" w:cs="Georgia" w:eastAsia="Georgia" w:hAnsi="Georgia"/>
          <w:color w:val="082538"/>
          <w:sz w:val="26"/>
          <w:szCs w:val="26"/>
        </w:rPr>
        <w:t xml:space="preserve">Estruturar financeiramente é medir capital, retorno, exposição e sensibilidade para saber se o empreendimento cria valor e suporta seus riscos.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19"/>
        <w:gridCol w:w="4919"/>
      </w:tblGrid>
      <w:t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O QUE ESTÁ EM JOGO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color w:val="1B2A36"/>
                <w:sz w:val="20"/>
                <w:szCs w:val="20"/>
              </w:rPr>
              <w:t xml:space="preserve">Aqui todas as frentes aparecem em números. Fluxo de caixa, exposição e sensibilidade mostram se o empreendimento cria valor e aguenta seus riscos.</w:t>
            </w:r>
          </w:p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A PERGUNTA QUE A MODELAGEM RESPONDE</w:t>
            </w:r>
          </w:p>
          <w:p>
            <w:pPr>
              <w:spacing w:after="0" w:line="300"/>
            </w:pPr>
            <w:r>
              <w:rPr>
                <w:rFonts w:ascii="Georgia" w:cs="Georgia" w:eastAsia="Georgia" w:hAnsi="Georgia"/>
                <w:i/>
                <w:iCs/>
                <w:color w:val="082538"/>
                <w:sz w:val="22"/>
                <w:szCs w:val="22"/>
              </w:rPr>
              <w:t xml:space="preserve">Quanto capital o negócio exige, em que momento, e o que acontece se as premissas mudarem?</w:t>
            </w:r>
          </w:p>
        </w:tc>
        <w:tc>
          <w:tcPr>
            <w:tcW w:type="dxa" w:w="49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DECISÕES DESTA FRENTE</w:t>
            </w:r>
          </w:p>
          <w:tbl>
            <w:tblPr>
              <w:tblW w:type="dxa" w:w="481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204"/>
              <w:gridCol w:w="1204"/>
              <w:gridCol w:w="1204"/>
              <w:gridCol w:w="1204"/>
            </w:tblGrid>
            <w:tr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Fluxo de caixa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Exposição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Capital necessário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Margem</w:t>
                  </w:r>
                </w:p>
              </w:tc>
            </w:tr>
            <w:tr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TIR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VPL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Payback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Break-even</w:t>
                  </w:r>
                </w:p>
              </w:tc>
            </w:tr>
            <w:tr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Sensibilidades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Cenários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TAMBÉM MOVE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7A5A28"/>
                <w:sz w:val="21"/>
                <w:szCs w:val="21"/>
              </w:rPr>
              <w:t xml:space="preserve">Capital e funding · Comercialização · Risco e retorno</w:t>
            </w:r>
          </w:p>
        </w:tc>
      </w:tr>
    </w:tbl>
    <w:p>
      <w:pPr>
        <w:sectPr>
          <w:headerReference w:type="default" r:id="rId23"/>
          <w:footerReference w:type="default" r:id="rId24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spacing w:after="160"/>
      </w:pPr>
      <w:r>
        <w:drawing>
          <wp:inline distT="0" distB="0" distL="0" distR="0">
            <wp:extent cx="6124575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B58A44"/>
          <w:sz w:val="60"/>
          <w:szCs w:val="60"/>
        </w:rPr>
        <w:t xml:space="preserve">08  </w:t>
      </w:r>
      <w:r>
        <w:rPr>
          <w:rFonts w:ascii="Georgia" w:cs="Georgia" w:eastAsia="Georgia" w:hAnsi="Georgia"/>
          <w:b/>
          <w:bCs/>
          <w:color w:val="082538"/>
          <w:sz w:val="44"/>
          <w:szCs w:val="44"/>
        </w:rPr>
        <w:t xml:space="preserve">Capital e funding</w:t>
      </w:r>
    </w:p>
    <w:p>
      <w:pPr>
        <w:pBdr>
          <w:left w:val="single" w:color="B58A44" w:sz="18" w:space="12"/>
        </w:pBdr>
        <w:spacing w:after="240" w:before="120" w:line="300"/>
        <w:ind w:left="240"/>
      </w:pPr>
      <w:r>
        <w:rPr>
          <w:rFonts w:ascii="Georgia" w:cs="Georgia" w:eastAsia="Georgia" w:hAnsi="Georgia"/>
          <w:color w:val="082538"/>
          <w:sz w:val="26"/>
          <w:szCs w:val="26"/>
        </w:rPr>
        <w:t xml:space="preserve">Estruturar o funding é combinar as fontes de capital certas, no momento certo, com custo, prazo, garantias e risco compatíveis com o projeto.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19"/>
        <w:gridCol w:w="4919"/>
      </w:tblGrid>
      <w:t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O QUE ESTÁ EM JOGO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color w:val="1B2A36"/>
                <w:sz w:val="20"/>
                <w:szCs w:val="20"/>
              </w:rPr>
              <w:t xml:space="preserve">Capital é meio, não fim. Capital próprio, sócios, investidor, banco e recebíveis entram em momentos diferentes, com custo e garantias diferentes.</w:t>
            </w:r>
          </w:p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A PERGUNTA QUE A MODELAGEM RESPONDE</w:t>
            </w:r>
          </w:p>
          <w:p>
            <w:pPr>
              <w:spacing w:after="0" w:line="300"/>
            </w:pPr>
            <w:r>
              <w:rPr>
                <w:rFonts w:ascii="Georgia" w:cs="Georgia" w:eastAsia="Georgia" w:hAnsi="Georgia"/>
                <w:i/>
                <w:iCs/>
                <w:color w:val="082538"/>
                <w:sz w:val="22"/>
                <w:szCs w:val="22"/>
              </w:rPr>
              <w:t xml:space="preserve">Que combinação de fontes financia a exposição do caixa com custo e risco compatíveis?</w:t>
            </w:r>
          </w:p>
        </w:tc>
        <w:tc>
          <w:tcPr>
            <w:tcW w:type="dxa" w:w="49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DECISÕES DESTA FRENTE</w:t>
            </w:r>
          </w:p>
          <w:tbl>
            <w:tblPr>
              <w:tblW w:type="dxa" w:w="481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204"/>
              <w:gridCol w:w="1204"/>
              <w:gridCol w:w="1204"/>
              <w:gridCol w:w="1204"/>
            </w:tblGrid>
            <w:tr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Capital próprio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Sócios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Investidor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Equity</w:t>
                  </w:r>
                </w:p>
              </w:tc>
            </w:tr>
            <w:tr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Dívida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Caixa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Bancos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Recebíveis</w:t>
                  </w:r>
                </w:p>
              </w:tc>
            </w:tr>
            <w:tr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CRI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Mercado de capitais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TAMBÉM MOVE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7A5A28"/>
                <w:sz w:val="21"/>
                <w:szCs w:val="21"/>
              </w:rPr>
              <w:t xml:space="preserve">Risco e retorno · Jurídico e regulatório · Econômico-financeiro</w:t>
            </w:r>
          </w:p>
        </w:tc>
      </w:tr>
    </w:tbl>
    <w:p>
      <w:pPr>
        <w:sectPr>
          <w:headerReference w:type="default" r:id="rId25"/>
          <w:footerReference w:type="default" r:id="rId26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spacing w:after="160"/>
      </w:pPr>
      <w:r>
        <w:drawing>
          <wp:inline distT="0" distB="0" distL="0" distR="0">
            <wp:extent cx="6124575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B58A44"/>
          <w:sz w:val="60"/>
          <w:szCs w:val="60"/>
        </w:rPr>
        <w:t xml:space="preserve">09  </w:t>
      </w:r>
      <w:r>
        <w:rPr>
          <w:rFonts w:ascii="Georgia" w:cs="Georgia" w:eastAsia="Georgia" w:hAnsi="Georgia"/>
          <w:b/>
          <w:bCs/>
          <w:color w:val="082538"/>
          <w:sz w:val="44"/>
          <w:szCs w:val="44"/>
        </w:rPr>
        <w:t xml:space="preserve">Comercialização</w:t>
      </w:r>
    </w:p>
    <w:p>
      <w:pPr>
        <w:pBdr>
          <w:left w:val="single" w:color="B58A44" w:sz="18" w:space="12"/>
        </w:pBdr>
        <w:spacing w:after="240" w:before="120" w:line="300"/>
        <w:ind w:left="240"/>
      </w:pPr>
      <w:r>
        <w:rPr>
          <w:rFonts w:ascii="Georgia" w:cs="Georgia" w:eastAsia="Georgia" w:hAnsi="Georgia"/>
          <w:color w:val="082538"/>
          <w:sz w:val="26"/>
          <w:szCs w:val="26"/>
        </w:rPr>
        <w:t xml:space="preserve">Estruturar a comercialização é transformar produto em receita, equilibrando preço, velocidade de vendas e geração de caixa.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19"/>
        <w:gridCol w:w="4919"/>
      </w:tblGrid>
      <w:t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O QUE ESTÁ EM JOGO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color w:val="1B2A36"/>
                <w:sz w:val="20"/>
                <w:szCs w:val="20"/>
              </w:rPr>
              <w:t xml:space="preserve">A comercialização transforma produto em receita e receita em caixa. Preço, tabela e velocidade de vendas decidem quanto capital externo o negócio pedirá.</w:t>
            </w:r>
          </w:p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A PERGUNTA QUE A MODELAGEM RESPONDE</w:t>
            </w:r>
          </w:p>
          <w:p>
            <w:pPr>
              <w:spacing w:after="0" w:line="300"/>
            </w:pPr>
            <w:r>
              <w:rPr>
                <w:rFonts w:ascii="Georgia" w:cs="Georgia" w:eastAsia="Georgia" w:hAnsi="Georgia"/>
                <w:i/>
                <w:iCs/>
                <w:color w:val="082538"/>
                <w:sz w:val="22"/>
                <w:szCs w:val="22"/>
              </w:rPr>
              <w:t xml:space="preserve">Que estratégia de vendas equilibra preço, velocidade e geração de caixa ao longo da obra?</w:t>
            </w:r>
          </w:p>
        </w:tc>
        <w:tc>
          <w:tcPr>
            <w:tcW w:type="dxa" w:w="49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DECISÕES DESTA FRENTE</w:t>
            </w:r>
          </w:p>
          <w:tbl>
            <w:tblPr>
              <w:tblW w:type="dxa" w:w="481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204"/>
              <w:gridCol w:w="1204"/>
              <w:gridCol w:w="1204"/>
              <w:gridCol w:w="1204"/>
            </w:tblGrid>
            <w:tr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Preço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Tabela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Entrada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Parcelamento</w:t>
                  </w:r>
                </w:p>
              </w:tc>
            </w:tr>
            <w:tr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Velocidade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Pré-venda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Associativo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Repasse</w:t>
                  </w:r>
                </w:p>
              </w:tc>
            </w:tr>
            <w:tr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Estoque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Canais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TAMBÉM MOVE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7A5A28"/>
                <w:sz w:val="21"/>
                <w:szCs w:val="21"/>
              </w:rPr>
              <w:t xml:space="preserve">Econômico-financeiro · Capital e funding · Produto e mercado</w:t>
            </w:r>
          </w:p>
        </w:tc>
      </w:tr>
    </w:tbl>
    <w:p>
      <w:pPr>
        <w:sectPr>
          <w:headerReference w:type="default" r:id="rId27"/>
          <w:footerReference w:type="default" r:id="rId28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spacing w:after="160"/>
      </w:pPr>
      <w:r>
        <w:drawing>
          <wp:inline distT="0" distB="0" distL="0" distR="0">
            <wp:extent cx="6124575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B58A44"/>
          <w:sz w:val="60"/>
          <w:szCs w:val="60"/>
        </w:rPr>
        <w:t xml:space="preserve">10  </w:t>
      </w:r>
      <w:r>
        <w:rPr>
          <w:rFonts w:ascii="Georgia" w:cs="Georgia" w:eastAsia="Georgia" w:hAnsi="Georgia"/>
          <w:b/>
          <w:bCs/>
          <w:color w:val="082538"/>
          <w:sz w:val="44"/>
          <w:szCs w:val="44"/>
        </w:rPr>
        <w:t xml:space="preserve">Risco e retorno</w:t>
      </w:r>
    </w:p>
    <w:p>
      <w:pPr>
        <w:pBdr>
          <w:left w:val="single" w:color="B58A44" w:sz="18" w:space="12"/>
        </w:pBdr>
        <w:spacing w:after="240" w:before="120" w:line="300"/>
        <w:ind w:left="240"/>
      </w:pPr>
      <w:r>
        <w:rPr>
          <w:rFonts w:ascii="Georgia" w:cs="Georgia" w:eastAsia="Georgia" w:hAnsi="Georgia"/>
          <w:color w:val="082538"/>
          <w:sz w:val="26"/>
          <w:szCs w:val="26"/>
        </w:rPr>
        <w:t xml:space="preserve">Estruturar risco e retorno é equilibrar proteção, exposição e remuneração entre empreendedor, investidores, financiadores e demais partes.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19"/>
        <w:gridCol w:w="4919"/>
      </w:tblGrid>
      <w:t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O QUE ESTÁ EM JOGO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color w:val="1B2A36"/>
                <w:sz w:val="20"/>
                <w:szCs w:val="20"/>
              </w:rPr>
              <w:t xml:space="preserve">Toda estrutura distribui risco e retorno entre as partes. Garantias, covenants, preferências e waterfall dizem quem protege quem e em que ordem.</w:t>
            </w:r>
          </w:p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A PERGUNTA QUE A MODELAGEM RESPONDE</w:t>
            </w:r>
          </w:p>
          <w:p>
            <w:pPr>
              <w:spacing w:after="0" w:line="300"/>
            </w:pPr>
            <w:r>
              <w:rPr>
                <w:rFonts w:ascii="Georgia" w:cs="Georgia" w:eastAsia="Georgia" w:hAnsi="Georgia"/>
                <w:i/>
                <w:iCs/>
                <w:color w:val="082538"/>
                <w:sz w:val="22"/>
                <w:szCs w:val="22"/>
              </w:rPr>
              <w:t xml:space="preserve">Como proteção, exposição e remuneração ficam equilibradas entre empreendedor, investidores e financiadores?</w:t>
            </w:r>
          </w:p>
        </w:tc>
        <w:tc>
          <w:tcPr>
            <w:tcW w:type="dxa" w:w="49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DECISÕES DESTA FRENTE</w:t>
            </w:r>
          </w:p>
          <w:tbl>
            <w:tblPr>
              <w:tblW w:type="dxa" w:w="481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204"/>
              <w:gridCol w:w="1204"/>
              <w:gridCol w:w="1204"/>
              <w:gridCol w:w="1204"/>
            </w:tblGrid>
            <w:tr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Riscos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Garantias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Covenants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Contingência</w:t>
                  </w:r>
                </w:p>
              </w:tc>
            </w:tr>
            <w:tr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Participações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Preferência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Waterfall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Distribuição</w:t>
                  </w:r>
                </w:p>
              </w:tc>
            </w:tr>
            <w:tr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5F8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>Exit</w:t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82538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7A5A28"/>
                <w:spacing w:val="40"/>
                <w:sz w:val="15"/>
                <w:szCs w:val="15"/>
              </w:rPr>
              <w:t xml:space="preserve">TAMBÉM MOVE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7A5A28"/>
                <w:sz w:val="21"/>
                <w:szCs w:val="21"/>
              </w:rPr>
              <w:t xml:space="preserve">Societário e governança · Capital e funding · Jurídico e regulatório</w:t>
            </w:r>
          </w:p>
        </w:tc>
      </w:tr>
    </w:tbl>
    <w:p>
      <w:pPr>
        <w:sectPr>
          <w:headerReference w:type="default" r:id="rId29"/>
          <w:footerReference w:type="default" r:id="rId30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7A5A28"/>
          <w:spacing w:val="40"/>
          <w:sz w:val="15"/>
          <w:szCs w:val="15"/>
        </w:rPr>
        <w:t xml:space="preserve">QUEM MOVE QUEM</w:t>
      </w:r>
    </w:p>
    <w:p>
      <w:pPr>
        <w:pStyle w:val="Heading1"/>
        <w:spacing w:after="240" w:before="80"/>
      </w:pPr>
      <w:r>
        <w:rPr>
          <w:rFonts w:ascii="Georgia" w:cs="Georgia" w:eastAsia="Georgia" w:hAnsi="Georgia"/>
          <w:b/>
          <w:bCs/>
          <w:color w:val="082538"/>
          <w:sz w:val="40"/>
          <w:szCs w:val="40"/>
        </w:rPr>
        <w:t xml:space="preserve">Nenhuma frente se decide sozinha.</w:t>
      </w:r>
    </w:p>
    <w:p>
      <w:pPr>
        <w:spacing w:after="160" w:line="300"/>
      </w:pPr>
      <w:r>
        <w:rPr>
          <w:rFonts w:ascii="Arial" w:cs="Arial" w:eastAsia="Arial" w:hAnsi="Arial"/>
          <w:color w:val="2C3E4E"/>
          <w:sz w:val="24"/>
          <w:szCs w:val="24"/>
        </w:rPr>
        <w:t xml:space="preserve">Cada linha mostra as frentes que uma decisão move primeiro. Terreno puxa produto, jurídico e capital. Societário puxa tributário, risco e capital. O financeiro recebe quase todas.</w:t>
      </w:r>
    </w:p>
    <w:tbl>
      <w:tblPr>
        <w:tblW w:type="dxa" w:w="96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6"/>
              <w:right w:val="none" w:color="FFFFFF" w:sz="0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86A"/>
                <w:sz w:val="11"/>
                <w:szCs w:val="11"/>
              </w:rPr>
              <w:t xml:space="preserve">TERRENO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6"/>
              <w:right w:val="none" w:color="FFFFFF" w:sz="0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86A"/>
                <w:sz w:val="11"/>
                <w:szCs w:val="11"/>
              </w:rPr>
              <w:t xml:space="preserve">PRODUTO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6"/>
              <w:right w:val="none" w:color="FFFFFF" w:sz="0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86A"/>
                <w:sz w:val="11"/>
                <w:szCs w:val="11"/>
              </w:rPr>
              <w:t xml:space="preserve">TÉCNICA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6"/>
              <w:right w:val="none" w:color="FFFFFF" w:sz="0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86A"/>
                <w:sz w:val="11"/>
                <w:szCs w:val="11"/>
              </w:rPr>
              <w:t xml:space="preserve">JURÍDICO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6"/>
              <w:right w:val="none" w:color="FFFFFF" w:sz="0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86A"/>
                <w:sz w:val="11"/>
                <w:szCs w:val="11"/>
              </w:rPr>
              <w:t xml:space="preserve">SOCIETÁRIO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6"/>
              <w:right w:val="none" w:color="FFFFFF" w:sz="0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86A"/>
                <w:sz w:val="11"/>
                <w:szCs w:val="11"/>
              </w:rPr>
              <w:t xml:space="preserve">TRIBUTÁRIO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6"/>
              <w:right w:val="none" w:color="FFFFFF" w:sz="0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86A"/>
                <w:sz w:val="11"/>
                <w:szCs w:val="11"/>
              </w:rPr>
              <w:t xml:space="preserve">FINANCEIRO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6"/>
              <w:right w:val="none" w:color="FFFFFF" w:sz="0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86A"/>
                <w:sz w:val="11"/>
                <w:szCs w:val="11"/>
              </w:rPr>
              <w:t xml:space="preserve">FUNDING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6"/>
              <w:right w:val="none" w:color="FFFFFF" w:sz="0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86A"/>
                <w:sz w:val="11"/>
                <w:szCs w:val="11"/>
              </w:rPr>
              <w:t xml:space="preserve">COMERCIAL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6"/>
              <w:right w:val="none" w:color="FFFFFF" w:sz="0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86A"/>
                <w:sz w:val="11"/>
                <w:szCs w:val="11"/>
              </w:rPr>
              <w:t xml:space="preserve">RISCO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60"/>
              <w:bottom w:type="dxa" w:w="11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A28"/>
                <w:sz w:val="15"/>
                <w:szCs w:val="15"/>
              </w:rPr>
              <w:t xml:space="preserve">01  </w:t>
            </w:r>
            <w:r>
              <w:rPr>
                <w:rFonts w:ascii="Arial" w:cs="Arial" w:eastAsia="Arial" w:hAnsi="Arial"/>
                <w:color w:val="082538"/>
                <w:sz w:val="18"/>
                <w:szCs w:val="18"/>
              </w:rPr>
              <w:t xml:space="preserve">Terreno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shd w:fill="F2F5F8" w:color="auto" w:val="clear"/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>●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>●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>●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60"/>
              <w:bottom w:type="dxa" w:w="11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A28"/>
                <w:sz w:val="15"/>
                <w:szCs w:val="15"/>
              </w:rPr>
              <w:t xml:space="preserve">02  </w:t>
            </w:r>
            <w:r>
              <w:rPr>
                <w:rFonts w:ascii="Arial" w:cs="Arial" w:eastAsia="Arial" w:hAnsi="Arial"/>
                <w:color w:val="082538"/>
                <w:sz w:val="18"/>
                <w:szCs w:val="18"/>
              </w:rPr>
              <w:t xml:space="preserve">Produto e mercado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shd w:fill="F2F5F8" w:color="auto" w:val="clear"/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>●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>●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>●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60"/>
              <w:bottom w:type="dxa" w:w="11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A28"/>
                <w:sz w:val="15"/>
                <w:szCs w:val="15"/>
              </w:rPr>
              <w:t xml:space="preserve">03  </w:t>
            </w:r>
            <w:r>
              <w:rPr>
                <w:rFonts w:ascii="Arial" w:cs="Arial" w:eastAsia="Arial" w:hAnsi="Arial"/>
                <w:color w:val="082538"/>
                <w:sz w:val="18"/>
                <w:szCs w:val="18"/>
              </w:rPr>
              <w:t xml:space="preserve">Técnica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>●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shd w:fill="F2F5F8" w:color="auto" w:val="clear"/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>●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>●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60"/>
              <w:bottom w:type="dxa" w:w="11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A28"/>
                <w:sz w:val="15"/>
                <w:szCs w:val="15"/>
              </w:rPr>
              <w:t xml:space="preserve">04  </w:t>
            </w:r>
            <w:r>
              <w:rPr>
                <w:rFonts w:ascii="Arial" w:cs="Arial" w:eastAsia="Arial" w:hAnsi="Arial"/>
                <w:color w:val="082538"/>
                <w:sz w:val="18"/>
                <w:szCs w:val="18"/>
              </w:rPr>
              <w:t xml:space="preserve">Jurídico e regulatório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shd w:fill="F2F5F8" w:color="auto" w:val="clear"/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>●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>●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>●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60"/>
              <w:bottom w:type="dxa" w:w="11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A28"/>
                <w:sz w:val="15"/>
                <w:szCs w:val="15"/>
              </w:rPr>
              <w:t xml:space="preserve">05  </w:t>
            </w:r>
            <w:r>
              <w:rPr>
                <w:rFonts w:ascii="Arial" w:cs="Arial" w:eastAsia="Arial" w:hAnsi="Arial"/>
                <w:color w:val="082538"/>
                <w:sz w:val="18"/>
                <w:szCs w:val="18"/>
              </w:rPr>
              <w:t xml:space="preserve">Societário e governança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shd w:fill="F2F5F8" w:color="auto" w:val="clear"/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>●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>●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60"/>
              <w:bottom w:type="dxa" w:w="11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A28"/>
                <w:sz w:val="15"/>
                <w:szCs w:val="15"/>
              </w:rPr>
              <w:t xml:space="preserve">06  </w:t>
            </w:r>
            <w:r>
              <w:rPr>
                <w:rFonts w:ascii="Arial" w:cs="Arial" w:eastAsia="Arial" w:hAnsi="Arial"/>
                <w:color w:val="082538"/>
                <w:sz w:val="18"/>
                <w:szCs w:val="18"/>
              </w:rPr>
              <w:t xml:space="preserve">Tributário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>●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>●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shd w:fill="F2F5F8" w:color="auto" w:val="clear"/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>●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60"/>
              <w:bottom w:type="dxa" w:w="11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A28"/>
                <w:sz w:val="15"/>
                <w:szCs w:val="15"/>
              </w:rPr>
              <w:t xml:space="preserve">07  </w:t>
            </w:r>
            <w:r>
              <w:rPr>
                <w:rFonts w:ascii="Arial" w:cs="Arial" w:eastAsia="Arial" w:hAnsi="Arial"/>
                <w:color w:val="082538"/>
                <w:sz w:val="18"/>
                <w:szCs w:val="18"/>
              </w:rPr>
              <w:t xml:space="preserve">Econômico-financeiro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shd w:fill="F2F5F8" w:color="auto" w:val="clear"/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>●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>●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60"/>
              <w:bottom w:type="dxa" w:w="11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A28"/>
                <w:sz w:val="15"/>
                <w:szCs w:val="15"/>
              </w:rPr>
              <w:t xml:space="preserve">08  </w:t>
            </w:r>
            <w:r>
              <w:rPr>
                <w:rFonts w:ascii="Arial" w:cs="Arial" w:eastAsia="Arial" w:hAnsi="Arial"/>
                <w:color w:val="082538"/>
                <w:sz w:val="18"/>
                <w:szCs w:val="18"/>
              </w:rPr>
              <w:t xml:space="preserve">Capital e funding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>●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>●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shd w:fill="F2F5F8" w:color="auto" w:val="clear"/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60"/>
              <w:bottom w:type="dxa" w:w="11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A28"/>
                <w:sz w:val="15"/>
                <w:szCs w:val="15"/>
              </w:rPr>
              <w:t xml:space="preserve">09  </w:t>
            </w:r>
            <w:r>
              <w:rPr>
                <w:rFonts w:ascii="Arial" w:cs="Arial" w:eastAsia="Arial" w:hAnsi="Arial"/>
                <w:color w:val="082538"/>
                <w:sz w:val="18"/>
                <w:szCs w:val="18"/>
              </w:rPr>
              <w:t xml:space="preserve">Comercialização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>●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>●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>●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shd w:fill="F2F5F8" w:color="auto" w:val="clear"/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60"/>
              <w:bottom w:type="dxa" w:w="11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A28"/>
                <w:sz w:val="15"/>
                <w:szCs w:val="15"/>
              </w:rPr>
              <w:t xml:space="preserve">10  </w:t>
            </w:r>
            <w:r>
              <w:rPr>
                <w:rFonts w:ascii="Arial" w:cs="Arial" w:eastAsia="Arial" w:hAnsi="Arial"/>
                <w:color w:val="082538"/>
                <w:sz w:val="18"/>
                <w:szCs w:val="18"/>
              </w:rPr>
              <w:t xml:space="preserve">Risco e retorno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>●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>●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>●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3DCE3" w:sz="4"/>
              <w:right w:val="none" w:color="FFFFFF" w:sz="0"/>
            </w:tcBorders>
            <w:shd w:fill="F2F5F8" w:color="auto" w:val="clear"/>
            <w:tcMar>
              <w:top w:type="dxa" w:w="110"/>
              <w:left w:type="dxa" w:w="20"/>
              <w:bottom w:type="dxa" w:w="11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8A44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300"/>
      </w:pPr>
      <w:r>
        <w:rPr>
          <w:rFonts w:ascii="Arial" w:cs="Arial" w:eastAsia="Arial" w:hAnsi="Arial"/>
          <w:color w:val="47586A"/>
          <w:sz w:val="17"/>
          <w:szCs w:val="17"/>
        </w:rPr>
        <w:t xml:space="preserve">Leitura: a frente da linha move as frentes marcadas na coluna. As conexões indicadas são as primeiras, não as únicas: na modelagem, todas chegam ao caixa.</w:t>
      </w:r>
    </w:p>
    <w:p>
      <w:pPr>
        <w:spacing w:after="20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B58A44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82538"/>
                <w:sz w:val="23"/>
                <w:szCs w:val="23"/>
              </w:rPr>
              <w:t xml:space="preserve">O financeiro recebe quase tudo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47586A"/>
                <w:sz w:val="18"/>
                <w:szCs w:val="18"/>
              </w:rPr>
              <w:t xml:space="preserve">Produto, técnica, tributário, funding e comercialização desembocam no fluxo de caixa. É onde as frentes viram números comparáveis.</w:t>
            </w:r>
          </w:p>
        </w:tc>
        <w:tc>
          <w:tcPr>
            <w:tcW w:type="dxa" w:w="3212"/>
            <w:tcBorders>
              <w:top w:val="single" w:color="B58A44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82538"/>
                <w:sz w:val="23"/>
                <w:szCs w:val="23"/>
              </w:rPr>
              <w:t xml:space="preserve">Um triângulo de estrutura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47586A"/>
                <w:sz w:val="18"/>
                <w:szCs w:val="18"/>
              </w:rPr>
              <w:t xml:space="preserve">Jurídico, societário e capital se movem juntos. A forma da sociedade define o que pode ser contratado, financiado e garantido.</w:t>
            </w:r>
          </w:p>
        </w:tc>
        <w:tc>
          <w:tcPr>
            <w:tcW w:type="dxa" w:w="3212"/>
            <w:tcBorders>
              <w:top w:val="single" w:color="B58A44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82538"/>
                <w:sz w:val="23"/>
                <w:szCs w:val="23"/>
              </w:rPr>
              <w:t xml:space="preserve">O terreno é o ponto de partida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47586A"/>
                <w:sz w:val="18"/>
                <w:szCs w:val="18"/>
              </w:rPr>
              <w:t xml:space="preserve">A forma de acesso ao terreno já escolhe produto, base jurídica e necessidade de capital. Modelar começa ali.</w:t>
            </w:r>
          </w:p>
        </w:tc>
      </w:tr>
    </w:tbl>
    <w:p>
      <w:pPr>
        <w:sectPr>
          <w:headerReference w:type="default" r:id="rId31"/>
          <w:footerReference w:type="default" r:id="rId32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7A5A28"/>
          <w:spacing w:val="40"/>
          <w:sz w:val="15"/>
          <w:szCs w:val="15"/>
        </w:rPr>
        <w:t xml:space="preserve">DO MAPA AO SEU CASO</w:t>
      </w:r>
    </w:p>
    <w:p>
      <w:pPr>
        <w:pStyle w:val="Heading1"/>
        <w:spacing w:after="240" w:before="80"/>
      </w:pPr>
      <w:r>
        <w:rPr>
          <w:rFonts w:ascii="Georgia" w:cs="Georgia" w:eastAsia="Georgia" w:hAnsi="Georgia"/>
          <w:b/>
          <w:bCs/>
          <w:color w:val="082538"/>
          <w:sz w:val="40"/>
          <w:szCs w:val="40"/>
        </w:rPr>
        <w:t xml:space="preserve">Modelar é o que separa uma oportunidade de uma decisão.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D3DCE3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7A5A28"/>
                <w:sz w:val="26"/>
                <w:szCs w:val="26"/>
              </w:rPr>
              <w:t xml:space="preserve">Premissas escritas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47586A"/>
                <w:sz w:val="19"/>
                <w:szCs w:val="19"/>
              </w:rPr>
              <w:t xml:space="preserve">Cada número do modelo tem origem declarada: mercado, custo, prazo, tributo e capital.</w:t>
            </w:r>
          </w:p>
        </w:tc>
        <w:tc>
          <w:tcPr>
            <w:tcW w:type="dxa" w:w="4819"/>
            <w:tcBorders>
              <w:top w:val="single" w:color="D3DCE3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7A5A28"/>
                <w:sz w:val="26"/>
                <w:szCs w:val="26"/>
              </w:rPr>
              <w:t xml:space="preserve">Caminhos lado a lado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47586A"/>
                <w:sz w:val="19"/>
                <w:szCs w:val="19"/>
              </w:rPr>
              <w:t xml:space="preserve">Dois ou três cenários comparados pelos mesmos critérios, não uma recomendação isolada.</w:t>
            </w:r>
          </w:p>
        </w:tc>
      </w:tr>
      <w:tr>
        <w:tc>
          <w:tcPr>
            <w:tcW w:type="dxa" w:w="4819"/>
            <w:tcBorders>
              <w:top w:val="single" w:color="D3DCE3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7A5A28"/>
                <w:sz w:val="26"/>
                <w:szCs w:val="26"/>
              </w:rPr>
              <w:t xml:space="preserve">Efeito no caixa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47586A"/>
                <w:sz w:val="19"/>
                <w:szCs w:val="19"/>
              </w:rPr>
              <w:t xml:space="preserve">Para cada caminho, a exposição máxima, o momento em que ela acontece e quem a financia.</w:t>
            </w:r>
          </w:p>
        </w:tc>
        <w:tc>
          <w:tcPr>
            <w:tcW w:type="dxa" w:w="4819"/>
            <w:tcBorders>
              <w:top w:val="single" w:color="D3DCE3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7A5A28"/>
                <w:sz w:val="26"/>
                <w:szCs w:val="26"/>
              </w:rPr>
              <w:t xml:space="preserve">Decisão registrada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47586A"/>
                <w:sz w:val="19"/>
                <w:szCs w:val="19"/>
              </w:rPr>
              <w:t xml:space="preserve">O caminho escolhido, o porquê e o que precisa estar pronto para a estruturação começar.</w:t>
            </w:r>
          </w:p>
        </w:tc>
      </w:tr>
    </w:tbl>
    <w:p>
      <w:pPr>
        <w:pBdr>
          <w:left w:val="single" w:color="B58A44" w:sz="18" w:space="12"/>
        </w:pBdr>
        <w:spacing w:after="400" w:before="400" w:line="300"/>
        <w:ind w:left="240"/>
      </w:pPr>
      <w:r>
        <w:rPr>
          <w:rFonts w:ascii="Georgia" w:cs="Georgia" w:eastAsia="Georgia" w:hAnsi="Georgia"/>
          <w:color w:val="082538"/>
          <w:sz w:val="26"/>
          <w:szCs w:val="26"/>
        </w:rPr>
        <w:t xml:space="preserve">O cliente decide. A empresa executa. A DALETH fica ao lado: verifica, cobra o combinado e corrige a rota.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2538" w:color="auto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Modelar o seu empreendimento começa com uma conversa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color w:val="B9C8D4"/>
                <w:sz w:val="21"/>
                <w:szCs w:val="21"/>
              </w:rPr>
              <w:t xml:space="preserve">Conte o terreno, o produto ou a empresa. A primeira conversa é de enquadramento, sem custo, e já mostra por quais frentes o seu caso pede para começar.</w:t>
            </w:r>
          </w:p>
          <w:p>
            <w:r>
              <w:rPr>
                <w:rFonts w:ascii="Arial" w:cs="Arial" w:eastAsia="Arial" w:hAnsi="Arial"/>
                <w:b/>
                <w:bCs/>
                <w:color w:val="D4B37C"/>
                <w:sz w:val="19"/>
                <w:szCs w:val="19"/>
              </w:rPr>
              <w:t xml:space="preserve">cristianovalerioribeiro.github.io/cris-code/metodo/modelagem/</w:t>
            </w:r>
          </w:p>
        </w:tc>
      </w:tr>
    </w:tbl>
    <w:p>
      <w:pPr>
        <w:spacing w:before="800"/>
      </w:pPr>
      <w:r>
        <w:drawing>
          <wp:inline distT="0" distB="0" distL="0" distR="0">
            <wp:extent cx="14478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rFonts w:ascii="Georgia" w:cs="Georgia" w:eastAsia="Georgia" w:hAnsi="Georgia"/>
          <w:i/>
          <w:iCs/>
          <w:color w:val="47586A"/>
          <w:sz w:val="22"/>
          <w:szCs w:val="22"/>
        </w:rPr>
        <w:t xml:space="preserve">Ao seu lado na construção da sua história.</w:t>
      </w:r>
    </w:p>
    <w:sectPr>
      <w:headerReference w:type="default" r:id="rId33"/>
      <w:footerReference w:type="default" r:id="rId34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CE3" w:sz="4" w:space="6"/>
      </w:pBdr>
      <w:tabs>
        <w:tab w:val="right" w:pos="9638"/>
      </w:tabs>
    </w:pPr>
    <w:r>
      <w:rPr>
        <w:rFonts w:ascii="Arial" w:cs="Arial" w:eastAsia="Arial" w:hAnsi="Arial"/>
        <w:b/>
        <w:bCs/>
        <w:color w:val="7D8D9B"/>
        <w:spacing w:val="60"/>
        <w:sz w:val="14"/>
        <w:szCs w:val="14"/>
      </w:rPr>
      <w:t xml:space="preserve">DALETH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Georgia" w:cs="Georgia" w:eastAsia="Georgia" w:hAnsi="Georgia"/>
        <w:color w:val="7A5A2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CE3" w:sz="4" w:space="6"/>
      </w:pBdr>
      <w:tabs>
        <w:tab w:val="right" w:pos="9638"/>
      </w:tabs>
    </w:pPr>
    <w:r>
      <w:rPr>
        <w:rFonts w:ascii="Arial" w:cs="Arial" w:eastAsia="Arial" w:hAnsi="Arial"/>
        <w:b/>
        <w:bCs/>
        <w:color w:val="7D8D9B"/>
        <w:spacing w:val="60"/>
        <w:sz w:val="14"/>
        <w:szCs w:val="14"/>
      </w:rPr>
      <w:t xml:space="preserve">DALETH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Georgia" w:cs="Georgia" w:eastAsia="Georgia" w:hAnsi="Georgia"/>
        <w:color w:val="7A5A2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CE3" w:sz="4" w:space="6"/>
      </w:pBdr>
      <w:tabs>
        <w:tab w:val="right" w:pos="9638"/>
      </w:tabs>
    </w:pPr>
    <w:r>
      <w:rPr>
        <w:rFonts w:ascii="Arial" w:cs="Arial" w:eastAsia="Arial" w:hAnsi="Arial"/>
        <w:b/>
        <w:bCs/>
        <w:color w:val="7D8D9B"/>
        <w:spacing w:val="60"/>
        <w:sz w:val="14"/>
        <w:szCs w:val="14"/>
      </w:rPr>
      <w:t xml:space="preserve">DALETH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Georgia" w:cs="Georgia" w:eastAsia="Georgia" w:hAnsi="Georgia"/>
        <w:color w:val="7A5A2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CE3" w:sz="4" w:space="6"/>
      </w:pBdr>
      <w:tabs>
        <w:tab w:val="right" w:pos="9638"/>
      </w:tabs>
    </w:pPr>
    <w:r>
      <w:rPr>
        <w:rFonts w:ascii="Arial" w:cs="Arial" w:eastAsia="Arial" w:hAnsi="Arial"/>
        <w:b/>
        <w:bCs/>
        <w:color w:val="7D8D9B"/>
        <w:spacing w:val="60"/>
        <w:sz w:val="14"/>
        <w:szCs w:val="14"/>
      </w:rPr>
      <w:t xml:space="preserve">DALETH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Georgia" w:cs="Georgia" w:eastAsia="Georgia" w:hAnsi="Georgia"/>
        <w:color w:val="7A5A2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CE3" w:sz="4" w:space="6"/>
      </w:pBdr>
      <w:tabs>
        <w:tab w:val="right" w:pos="9638"/>
      </w:tabs>
    </w:pPr>
    <w:r>
      <w:rPr>
        <w:rFonts w:ascii="Arial" w:cs="Arial" w:eastAsia="Arial" w:hAnsi="Arial"/>
        <w:b/>
        <w:bCs/>
        <w:color w:val="7D8D9B"/>
        <w:spacing w:val="60"/>
        <w:sz w:val="14"/>
        <w:szCs w:val="14"/>
      </w:rPr>
      <w:t xml:space="preserve">DALETH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Georgia" w:cs="Georgia" w:eastAsia="Georgia" w:hAnsi="Georgia"/>
        <w:color w:val="7A5A2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CE3" w:sz="4" w:space="6"/>
      </w:pBdr>
      <w:tabs>
        <w:tab w:val="right" w:pos="9638"/>
      </w:tabs>
    </w:pPr>
    <w:r>
      <w:rPr>
        <w:rFonts w:ascii="Arial" w:cs="Arial" w:eastAsia="Arial" w:hAnsi="Arial"/>
        <w:b/>
        <w:bCs/>
        <w:color w:val="7D8D9B"/>
        <w:spacing w:val="60"/>
        <w:sz w:val="14"/>
        <w:szCs w:val="14"/>
      </w:rPr>
      <w:t xml:space="preserve">DALETH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Georgia" w:cs="Georgia" w:eastAsia="Georgia" w:hAnsi="Georgia"/>
        <w:color w:val="7A5A2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CE3" w:sz="4" w:space="6"/>
      </w:pBdr>
      <w:tabs>
        <w:tab w:val="right" w:pos="9638"/>
      </w:tabs>
    </w:pPr>
    <w:r>
      <w:rPr>
        <w:rFonts w:ascii="Arial" w:cs="Arial" w:eastAsia="Arial" w:hAnsi="Arial"/>
        <w:b/>
        <w:bCs/>
        <w:color w:val="7D8D9B"/>
        <w:spacing w:val="60"/>
        <w:sz w:val="14"/>
        <w:szCs w:val="14"/>
      </w:rPr>
      <w:t xml:space="preserve">DALETH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Georgia" w:cs="Georgia" w:eastAsia="Georgia" w:hAnsi="Georgia"/>
        <w:color w:val="7A5A2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CE3" w:sz="4" w:space="6"/>
      </w:pBdr>
      <w:tabs>
        <w:tab w:val="right" w:pos="9638"/>
      </w:tabs>
    </w:pPr>
    <w:r>
      <w:rPr>
        <w:rFonts w:ascii="Arial" w:cs="Arial" w:eastAsia="Arial" w:hAnsi="Arial"/>
        <w:b/>
        <w:bCs/>
        <w:color w:val="7D8D9B"/>
        <w:spacing w:val="60"/>
        <w:sz w:val="14"/>
        <w:szCs w:val="14"/>
      </w:rPr>
      <w:t xml:space="preserve">DALETH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Georgia" w:cs="Georgia" w:eastAsia="Georgia" w:hAnsi="Georgia"/>
        <w:color w:val="7A5A2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CE3" w:sz="4" w:space="6"/>
      </w:pBdr>
      <w:tabs>
        <w:tab w:val="right" w:pos="9638"/>
      </w:tabs>
    </w:pPr>
    <w:r>
      <w:rPr>
        <w:rFonts w:ascii="Arial" w:cs="Arial" w:eastAsia="Arial" w:hAnsi="Arial"/>
        <w:b/>
        <w:bCs/>
        <w:color w:val="7D8D9B"/>
        <w:spacing w:val="60"/>
        <w:sz w:val="14"/>
        <w:szCs w:val="14"/>
      </w:rPr>
      <w:t xml:space="preserve">DALETH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Georgia" w:cs="Georgia" w:eastAsia="Georgia" w:hAnsi="Georgia"/>
        <w:color w:val="7A5A2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CE3" w:sz="4" w:space="6"/>
      </w:pBdr>
      <w:tabs>
        <w:tab w:val="right" w:pos="9638"/>
      </w:tabs>
    </w:pPr>
    <w:r>
      <w:rPr>
        <w:rFonts w:ascii="Arial" w:cs="Arial" w:eastAsia="Arial" w:hAnsi="Arial"/>
        <w:b/>
        <w:bCs/>
        <w:color w:val="7D8D9B"/>
        <w:spacing w:val="60"/>
        <w:sz w:val="14"/>
        <w:szCs w:val="14"/>
      </w:rPr>
      <w:t xml:space="preserve">DALETH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Georgia" w:cs="Georgia" w:eastAsia="Georgia" w:hAnsi="Georgia"/>
        <w:color w:val="7A5A2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CE3" w:sz="4" w:space="6"/>
      </w:pBdr>
      <w:tabs>
        <w:tab w:val="right" w:pos="9638"/>
      </w:tabs>
    </w:pPr>
    <w:r>
      <w:rPr>
        <w:rFonts w:ascii="Arial" w:cs="Arial" w:eastAsia="Arial" w:hAnsi="Arial"/>
        <w:b/>
        <w:bCs/>
        <w:color w:val="7D8D9B"/>
        <w:spacing w:val="60"/>
        <w:sz w:val="14"/>
        <w:szCs w:val="14"/>
      </w:rPr>
      <w:t xml:space="preserve">DALETH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Georgia" w:cs="Georgia" w:eastAsia="Georgia" w:hAnsi="Georgia"/>
        <w:color w:val="7A5A2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CE3" w:sz="4" w:space="6"/>
      </w:pBdr>
      <w:tabs>
        <w:tab w:val="right" w:pos="9638"/>
      </w:tabs>
    </w:pPr>
    <w:r>
      <w:rPr>
        <w:rFonts w:ascii="Arial" w:cs="Arial" w:eastAsia="Arial" w:hAnsi="Arial"/>
        <w:b/>
        <w:bCs/>
        <w:color w:val="7D8D9B"/>
        <w:spacing w:val="60"/>
        <w:sz w:val="14"/>
        <w:szCs w:val="14"/>
      </w:rPr>
      <w:t xml:space="preserve">DALETH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Georgia" w:cs="Georgia" w:eastAsia="Georgia" w:hAnsi="Georgia"/>
        <w:color w:val="7A5A2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CE3" w:sz="4" w:space="6"/>
      </w:pBdr>
      <w:tabs>
        <w:tab w:val="right" w:pos="9638"/>
      </w:tabs>
    </w:pPr>
    <w:r>
      <w:rPr>
        <w:rFonts w:ascii="Arial" w:cs="Arial" w:eastAsia="Arial" w:hAnsi="Arial"/>
        <w:b/>
        <w:bCs/>
        <w:color w:val="7D8D9B"/>
        <w:spacing w:val="60"/>
        <w:sz w:val="14"/>
        <w:szCs w:val="14"/>
      </w:rPr>
      <w:t xml:space="preserve">DALETH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Georgia" w:cs="Georgia" w:eastAsia="Georgia" w:hAnsi="Georgia"/>
        <w:color w:val="7A5A2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CE3" w:sz="4" w:space="6"/>
      </w:pBdr>
      <w:tabs>
        <w:tab w:val="right" w:pos="9638"/>
      </w:tabs>
    </w:pPr>
    <w:r>
      <w:rPr>
        <w:rFonts w:ascii="Arial" w:cs="Arial" w:eastAsia="Arial" w:hAnsi="Arial"/>
        <w:b/>
        <w:bCs/>
        <w:color w:val="7D8D9B"/>
        <w:spacing w:val="60"/>
        <w:sz w:val="14"/>
        <w:szCs w:val="14"/>
      </w:rPr>
      <w:t xml:space="preserve">DALETH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Georgia" w:cs="Georgia" w:eastAsia="Georgia" w:hAnsi="Georgia"/>
        <w:color w:val="7A5A2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rFonts w:ascii="Arial" w:cs="Arial" w:eastAsia="Arial" w:hAnsi="Arial"/>
        <w:color w:val="7D8D9B"/>
        <w:spacing w:val="30"/>
        <w:sz w:val="14"/>
        <w:szCs w:val="14"/>
      </w:rPr>
      <w:t xml:space="preserve">MODELAGEM DO EMPREENDIMENTO</w:t>
    </w:r>
    <w:r>
      <w:rPr>
        <w:rFonts w:ascii="Arial" w:cs="Arial" w:eastAsia="Arial" w:hAnsi="Arial"/>
        <w:color w:val="7D8D9B"/>
        <w:spacing w:val="30"/>
        <w:sz w:val="14"/>
        <w:szCs w:val="14"/>
      </w:rPr>
      <w:t xml:space="preserve">	O QUE É MODELAR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rFonts w:ascii="Arial" w:cs="Arial" w:eastAsia="Arial" w:hAnsi="Arial"/>
        <w:color w:val="7D8D9B"/>
        <w:spacing w:val="30"/>
        <w:sz w:val="14"/>
        <w:szCs w:val="14"/>
      </w:rPr>
      <w:t xml:space="preserve">MODELAGEM DO EMPREENDIMENTO</w:t>
    </w:r>
    <w:r>
      <w:rPr>
        <w:rFonts w:ascii="Arial" w:cs="Arial" w:eastAsia="Arial" w:hAnsi="Arial"/>
        <w:color w:val="7D8D9B"/>
        <w:spacing w:val="30"/>
        <w:sz w:val="14"/>
        <w:szCs w:val="14"/>
      </w:rPr>
      <w:t xml:space="preserve">	O CONCEITO VISUAL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rFonts w:ascii="Arial" w:cs="Arial" w:eastAsia="Arial" w:hAnsi="Arial"/>
        <w:color w:val="7D8D9B"/>
        <w:spacing w:val="30"/>
        <w:sz w:val="14"/>
        <w:szCs w:val="14"/>
      </w:rPr>
      <w:t xml:space="preserve">MODELAGEM DO EMPREENDIMENTO</w:t>
    </w:r>
    <w:r>
      <w:rPr>
        <w:rFonts w:ascii="Arial" w:cs="Arial" w:eastAsia="Arial" w:hAnsi="Arial"/>
        <w:color w:val="7D8D9B"/>
        <w:spacing w:val="30"/>
        <w:sz w:val="14"/>
        <w:szCs w:val="14"/>
      </w:rPr>
      <w:t xml:space="preserve">	FRENTE 01 DE 10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rFonts w:ascii="Arial" w:cs="Arial" w:eastAsia="Arial" w:hAnsi="Arial"/>
        <w:color w:val="7D8D9B"/>
        <w:spacing w:val="30"/>
        <w:sz w:val="14"/>
        <w:szCs w:val="14"/>
      </w:rPr>
      <w:t xml:space="preserve">MODELAGEM DO EMPREENDIMENTO</w:t>
    </w:r>
    <w:r>
      <w:rPr>
        <w:rFonts w:ascii="Arial" w:cs="Arial" w:eastAsia="Arial" w:hAnsi="Arial"/>
        <w:color w:val="7D8D9B"/>
        <w:spacing w:val="30"/>
        <w:sz w:val="14"/>
        <w:szCs w:val="14"/>
      </w:rPr>
      <w:t xml:space="preserve">	FRENTE 02 DE 10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rFonts w:ascii="Arial" w:cs="Arial" w:eastAsia="Arial" w:hAnsi="Arial"/>
        <w:color w:val="7D8D9B"/>
        <w:spacing w:val="30"/>
        <w:sz w:val="14"/>
        <w:szCs w:val="14"/>
      </w:rPr>
      <w:t xml:space="preserve">MODELAGEM DO EMPREENDIMENTO</w:t>
    </w:r>
    <w:r>
      <w:rPr>
        <w:rFonts w:ascii="Arial" w:cs="Arial" w:eastAsia="Arial" w:hAnsi="Arial"/>
        <w:color w:val="7D8D9B"/>
        <w:spacing w:val="30"/>
        <w:sz w:val="14"/>
        <w:szCs w:val="14"/>
      </w:rPr>
      <w:t xml:space="preserve">	FRENTE 03 DE 10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rFonts w:ascii="Arial" w:cs="Arial" w:eastAsia="Arial" w:hAnsi="Arial"/>
        <w:color w:val="7D8D9B"/>
        <w:spacing w:val="30"/>
        <w:sz w:val="14"/>
        <w:szCs w:val="14"/>
      </w:rPr>
      <w:t xml:space="preserve">MODELAGEM DO EMPREENDIMENTO</w:t>
    </w:r>
    <w:r>
      <w:rPr>
        <w:rFonts w:ascii="Arial" w:cs="Arial" w:eastAsia="Arial" w:hAnsi="Arial"/>
        <w:color w:val="7D8D9B"/>
        <w:spacing w:val="30"/>
        <w:sz w:val="14"/>
        <w:szCs w:val="14"/>
      </w:rPr>
      <w:t xml:space="preserve">	FRENTE 04 DE 10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rFonts w:ascii="Arial" w:cs="Arial" w:eastAsia="Arial" w:hAnsi="Arial"/>
        <w:color w:val="7D8D9B"/>
        <w:spacing w:val="30"/>
        <w:sz w:val="14"/>
        <w:szCs w:val="14"/>
      </w:rPr>
      <w:t xml:space="preserve">MODELAGEM DO EMPREENDIMENTO</w:t>
    </w:r>
    <w:r>
      <w:rPr>
        <w:rFonts w:ascii="Arial" w:cs="Arial" w:eastAsia="Arial" w:hAnsi="Arial"/>
        <w:color w:val="7D8D9B"/>
        <w:spacing w:val="30"/>
        <w:sz w:val="14"/>
        <w:szCs w:val="14"/>
      </w:rPr>
      <w:t xml:space="preserve">	FRENTE 05 DE 10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rFonts w:ascii="Arial" w:cs="Arial" w:eastAsia="Arial" w:hAnsi="Arial"/>
        <w:color w:val="7D8D9B"/>
        <w:spacing w:val="30"/>
        <w:sz w:val="14"/>
        <w:szCs w:val="14"/>
      </w:rPr>
      <w:t xml:space="preserve">MODELAGEM DO EMPREENDIMENTO</w:t>
    </w:r>
    <w:r>
      <w:rPr>
        <w:rFonts w:ascii="Arial" w:cs="Arial" w:eastAsia="Arial" w:hAnsi="Arial"/>
        <w:color w:val="7D8D9B"/>
        <w:spacing w:val="30"/>
        <w:sz w:val="14"/>
        <w:szCs w:val="14"/>
      </w:rPr>
      <w:t xml:space="preserve">	FRENTE 06 DE 10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rFonts w:ascii="Arial" w:cs="Arial" w:eastAsia="Arial" w:hAnsi="Arial"/>
        <w:color w:val="7D8D9B"/>
        <w:spacing w:val="30"/>
        <w:sz w:val="14"/>
        <w:szCs w:val="14"/>
      </w:rPr>
      <w:t xml:space="preserve">MODELAGEM DO EMPREENDIMENTO</w:t>
    </w:r>
    <w:r>
      <w:rPr>
        <w:rFonts w:ascii="Arial" w:cs="Arial" w:eastAsia="Arial" w:hAnsi="Arial"/>
        <w:color w:val="7D8D9B"/>
        <w:spacing w:val="30"/>
        <w:sz w:val="14"/>
        <w:szCs w:val="14"/>
      </w:rPr>
      <w:t xml:space="preserve">	FRENTE 07 DE 10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rFonts w:ascii="Arial" w:cs="Arial" w:eastAsia="Arial" w:hAnsi="Arial"/>
        <w:color w:val="7D8D9B"/>
        <w:spacing w:val="30"/>
        <w:sz w:val="14"/>
        <w:szCs w:val="14"/>
      </w:rPr>
      <w:t xml:space="preserve">MODELAGEM DO EMPREENDIMENTO</w:t>
    </w:r>
    <w:r>
      <w:rPr>
        <w:rFonts w:ascii="Arial" w:cs="Arial" w:eastAsia="Arial" w:hAnsi="Arial"/>
        <w:color w:val="7D8D9B"/>
        <w:spacing w:val="30"/>
        <w:sz w:val="14"/>
        <w:szCs w:val="14"/>
      </w:rPr>
      <w:t xml:space="preserve">	FRENTE 08 DE 10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rFonts w:ascii="Arial" w:cs="Arial" w:eastAsia="Arial" w:hAnsi="Arial"/>
        <w:color w:val="7D8D9B"/>
        <w:spacing w:val="30"/>
        <w:sz w:val="14"/>
        <w:szCs w:val="14"/>
      </w:rPr>
      <w:t xml:space="preserve">MODELAGEM DO EMPREENDIMENTO</w:t>
    </w:r>
    <w:r>
      <w:rPr>
        <w:rFonts w:ascii="Arial" w:cs="Arial" w:eastAsia="Arial" w:hAnsi="Arial"/>
        <w:color w:val="7D8D9B"/>
        <w:spacing w:val="30"/>
        <w:sz w:val="14"/>
        <w:szCs w:val="14"/>
      </w:rPr>
      <w:t xml:space="preserve">	FRENTE 09 DE 10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rFonts w:ascii="Arial" w:cs="Arial" w:eastAsia="Arial" w:hAnsi="Arial"/>
        <w:color w:val="7D8D9B"/>
        <w:spacing w:val="30"/>
        <w:sz w:val="14"/>
        <w:szCs w:val="14"/>
      </w:rPr>
      <w:t xml:space="preserve">MODELAGEM DO EMPREENDIMENTO</w:t>
    </w:r>
    <w:r>
      <w:rPr>
        <w:rFonts w:ascii="Arial" w:cs="Arial" w:eastAsia="Arial" w:hAnsi="Arial"/>
        <w:color w:val="7D8D9B"/>
        <w:spacing w:val="30"/>
        <w:sz w:val="14"/>
        <w:szCs w:val="14"/>
      </w:rPr>
      <w:t xml:space="preserve">	FRENTE 10 DE 10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rFonts w:ascii="Arial" w:cs="Arial" w:eastAsia="Arial" w:hAnsi="Arial"/>
        <w:color w:val="7D8D9B"/>
        <w:spacing w:val="30"/>
        <w:sz w:val="14"/>
        <w:szCs w:val="14"/>
      </w:rPr>
      <w:t xml:space="preserve">MODELAGEM DO EMPREENDIMENTO</w:t>
    </w:r>
    <w:r>
      <w:rPr>
        <w:rFonts w:ascii="Arial" w:cs="Arial" w:eastAsia="Arial" w:hAnsi="Arial"/>
        <w:color w:val="7D8D9B"/>
        <w:spacing w:val="30"/>
        <w:sz w:val="14"/>
        <w:szCs w:val="14"/>
      </w:rPr>
      <w:t xml:space="preserve">	MAPA DE CONEXÕES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rFonts w:ascii="Arial" w:cs="Arial" w:eastAsia="Arial" w:hAnsi="Arial"/>
        <w:color w:val="7D8D9B"/>
        <w:spacing w:val="30"/>
        <w:sz w:val="14"/>
        <w:szCs w:val="14"/>
      </w:rPr>
      <w:t xml:space="preserve">MODELAGEM DO EMPREENDIMENTO</w:t>
    </w:r>
    <w:r>
      <w:rPr>
        <w:rFonts w:ascii="Arial" w:cs="Arial" w:eastAsia="Arial" w:hAnsi="Arial"/>
        <w:color w:val="7D8D9B"/>
        <w:spacing w:val="30"/>
        <w:sz w:val="14"/>
        <w:szCs w:val="14"/>
      </w:rPr>
      <w:t xml:space="preserve">	O QUE A MODELAGEM ENTREGA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082538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08253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header" Target="header12.xml"/><Relationship Id="rId30" Type="http://schemas.openxmlformats.org/officeDocument/2006/relationships/footer" Target="footer12.xml"/><Relationship Id="rId31" Type="http://schemas.openxmlformats.org/officeDocument/2006/relationships/header" Target="header13.xml"/><Relationship Id="rId32" Type="http://schemas.openxmlformats.org/officeDocument/2006/relationships/footer" Target="footer13.xml"/><Relationship Id="rId33" Type="http://schemas.openxmlformats.org/officeDocument/2006/relationships/header" Target="header14.xml"/><Relationship Id="rId34" Type="http://schemas.openxmlformats.org/officeDocument/2006/relationships/footer" Target="footer14.xml"/><Relationship Id="rId35" Type="http://schemas.openxmlformats.org/officeDocument/2006/relationships/image" Target="media/019cbfd6fad528dd4cd87d050ed24cf47faafe26.png"/><Relationship Id="rId36" Type="http://schemas.openxmlformats.org/officeDocument/2006/relationships/image" Target="media/7f523d2c471257278073599e1f433e817857f28d.jpg"/><Relationship Id="rId37" Type="http://schemas.openxmlformats.org/officeDocument/2006/relationships/image" Target="media/4b8c15ee044984d40f78453fda164b55e1971abd.jpg"/><Relationship Id="rId38" Type="http://schemas.openxmlformats.org/officeDocument/2006/relationships/image" Target="media/f7076dd4027e79191db9698569aa341857e42ff5.jpg"/><Relationship Id="rId39" Type="http://schemas.openxmlformats.org/officeDocument/2006/relationships/image" Target="media/45d160e0dc3b4565e3457b25ba4493fc12d3d389.jpg"/><Relationship Id="rId40" Type="http://schemas.openxmlformats.org/officeDocument/2006/relationships/image" Target="media/0d722918ae5f536709a98290d32a3c136c2886fb.jpg"/><Relationship Id="rId41" Type="http://schemas.openxmlformats.org/officeDocument/2006/relationships/image" Target="media/cdec7f67d6cd449c2735bad754d6ab9be80380c0.jpg"/><Relationship Id="rId42" Type="http://schemas.openxmlformats.org/officeDocument/2006/relationships/image" Target="media/0f179ca5564ce7946050fef304a9b26c57ea5500.jpg"/><Relationship Id="rId43" Type="http://schemas.openxmlformats.org/officeDocument/2006/relationships/image" Target="media/0bb808131385cf2031963ee86d476d9dc4dab970.jpg"/><Relationship Id="rId44" Type="http://schemas.openxmlformats.org/officeDocument/2006/relationships/image" Target="media/4b6a84e1a132a19a98601bfd618ca09fcf4b6ba3.jpg"/><Relationship Id="rId45" Type="http://schemas.openxmlformats.org/officeDocument/2006/relationships/image" Target="media/c8352f513489054f55b9017f8a4a3e6b140df9e7.jpg"/><Relationship Id="rId46" Type="http://schemas.openxmlformats.org/officeDocument/2006/relationships/image" Target="media/d3a38fa8ac7325f97b3322dd61f13e70ee7d7d8d.jpg"/><Relationship Id="rId47" Type="http://schemas.openxmlformats.org/officeDocument/2006/relationships/image" Target="media/0e520d8f655351f2bbb3139ecedba58f8b3dbc74.jpg"/><Relationship Id="rId4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Modelagem do empreendimento</dc:title>
  <dc:creator>DALETH</dc:creator>
  <dc:description>Dez frentes, uma decisão. Material de apoio do método DALETH.</dc:description>
  <cp:lastModifiedBy>Un-named</cp:lastModifiedBy>
  <cp:revision>1</cp:revision>
  <dcterms:created xsi:type="dcterms:W3CDTF">2026-10-06T23:02:51.033Z</dcterms:created>
  <dcterms:modified xsi:type="dcterms:W3CDTF">2026-10-06T23:02:51.037Z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