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7C64" w14:textId="77777777" w:rsidR="00656A5D" w:rsidRPr="00D477D2" w:rsidRDefault="00656A5D" w:rsidP="00D477D2">
      <w:pPr>
        <w:pStyle w:val="Ttulo1"/>
        <w:spacing w:line="480" w:lineRule="auto"/>
        <w:rPr>
          <w:rFonts w:ascii="Times New Roman" w:hAnsi="Times New Roman" w:cs="Times New Roman"/>
          <w:sz w:val="24"/>
          <w:szCs w:val="24"/>
        </w:rPr>
      </w:pPr>
      <w:r w:rsidRPr="00D477D2">
        <w:rPr>
          <w:rFonts w:ascii="Times New Roman" w:hAnsi="Times New Roman" w:cs="Times New Roman"/>
          <w:noProof/>
          <w:sz w:val="24"/>
          <w:szCs w:val="24"/>
        </w:rPr>
        <w:drawing>
          <wp:anchor distT="0" distB="0" distL="114300" distR="114300" simplePos="0" relativeHeight="251658240" behindDoc="1" locked="0" layoutInCell="1" allowOverlap="1" wp14:anchorId="4B4C9FEC" wp14:editId="559FF301">
            <wp:simplePos x="0" y="0"/>
            <wp:positionH relativeFrom="column">
              <wp:posOffset>443865</wp:posOffset>
            </wp:positionH>
            <wp:positionV relativeFrom="paragraph">
              <wp:posOffset>266700</wp:posOffset>
            </wp:positionV>
            <wp:extent cx="5400040" cy="1173480"/>
            <wp:effectExtent l="0" t="0" r="0" b="7620"/>
            <wp:wrapTight wrapText="bothSides">
              <wp:wrapPolygon edited="0">
                <wp:start x="0" y="0"/>
                <wp:lineTo x="0" y="21390"/>
                <wp:lineTo x="21488" y="21390"/>
                <wp:lineTo x="21488" y="0"/>
                <wp:lineTo x="0" y="0"/>
              </wp:wrapPolygon>
            </wp:wrapTight>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173480"/>
                    </a:xfrm>
                    <a:prstGeom prst="rect">
                      <a:avLst/>
                    </a:prstGeom>
                    <a:noFill/>
                  </pic:spPr>
                </pic:pic>
              </a:graphicData>
            </a:graphic>
            <wp14:sizeRelH relativeFrom="page">
              <wp14:pctWidth>0</wp14:pctWidth>
            </wp14:sizeRelH>
            <wp14:sizeRelV relativeFrom="page">
              <wp14:pctHeight>0</wp14:pctHeight>
            </wp14:sizeRelV>
          </wp:anchor>
        </w:drawing>
      </w:r>
    </w:p>
    <w:p w14:paraId="7B1CEB28" w14:textId="77777777" w:rsidR="00656A5D" w:rsidRPr="00D477D2" w:rsidRDefault="00656A5D" w:rsidP="00D477D2">
      <w:pPr>
        <w:pStyle w:val="Ttulo1"/>
        <w:spacing w:line="480" w:lineRule="auto"/>
        <w:rPr>
          <w:rFonts w:ascii="Times New Roman" w:hAnsi="Times New Roman" w:cs="Times New Roman"/>
          <w:sz w:val="24"/>
          <w:szCs w:val="24"/>
        </w:rPr>
      </w:pPr>
    </w:p>
    <w:p w14:paraId="1F764DC7" w14:textId="77777777" w:rsidR="00656A5D" w:rsidRPr="00D477D2" w:rsidRDefault="00656A5D" w:rsidP="00D477D2">
      <w:pPr>
        <w:spacing w:line="480" w:lineRule="auto"/>
        <w:rPr>
          <w:rFonts w:ascii="Times New Roman" w:hAnsi="Times New Roman" w:cs="Times New Roman"/>
          <w:sz w:val="24"/>
          <w:szCs w:val="24"/>
        </w:rPr>
      </w:pPr>
    </w:p>
    <w:p w14:paraId="189282AB" w14:textId="77777777" w:rsidR="00656A5D" w:rsidRPr="00D477D2" w:rsidRDefault="00656A5D" w:rsidP="00D477D2">
      <w:pPr>
        <w:spacing w:line="480" w:lineRule="auto"/>
        <w:rPr>
          <w:rFonts w:ascii="Times New Roman" w:hAnsi="Times New Roman" w:cs="Times New Roman"/>
          <w:sz w:val="24"/>
          <w:szCs w:val="24"/>
        </w:rPr>
      </w:pPr>
    </w:p>
    <w:p w14:paraId="47AB9683" w14:textId="77777777" w:rsidR="00656A5D" w:rsidRPr="00D477D2" w:rsidRDefault="00656A5D" w:rsidP="00D477D2">
      <w:pPr>
        <w:spacing w:line="480" w:lineRule="auto"/>
        <w:rPr>
          <w:rFonts w:ascii="Times New Roman" w:hAnsi="Times New Roman" w:cs="Times New Roman"/>
          <w:sz w:val="24"/>
          <w:szCs w:val="24"/>
        </w:rPr>
      </w:pPr>
    </w:p>
    <w:p w14:paraId="1CBA08DE" w14:textId="77777777" w:rsidR="00656A5D" w:rsidRPr="00D477D2" w:rsidRDefault="00656A5D" w:rsidP="00D477D2">
      <w:pPr>
        <w:spacing w:line="480" w:lineRule="auto"/>
        <w:rPr>
          <w:rFonts w:ascii="Times New Roman" w:hAnsi="Times New Roman" w:cs="Times New Roman"/>
          <w:sz w:val="24"/>
          <w:szCs w:val="24"/>
        </w:rPr>
      </w:pPr>
    </w:p>
    <w:p w14:paraId="27F2E7FE" w14:textId="77777777" w:rsidR="00656A5D" w:rsidRPr="00D477D2" w:rsidRDefault="00656A5D" w:rsidP="00D477D2">
      <w:pPr>
        <w:spacing w:line="480" w:lineRule="auto"/>
        <w:rPr>
          <w:rFonts w:ascii="Times New Roman" w:hAnsi="Times New Roman" w:cs="Times New Roman"/>
          <w:sz w:val="24"/>
          <w:szCs w:val="24"/>
        </w:rPr>
      </w:pPr>
    </w:p>
    <w:p w14:paraId="2CBACFB8" w14:textId="77777777" w:rsidR="00656A5D" w:rsidRPr="00D477D2" w:rsidRDefault="00656A5D" w:rsidP="00D477D2">
      <w:pPr>
        <w:spacing w:line="480" w:lineRule="auto"/>
        <w:rPr>
          <w:rFonts w:ascii="Times New Roman" w:hAnsi="Times New Roman" w:cs="Times New Roman"/>
          <w:sz w:val="24"/>
          <w:szCs w:val="24"/>
        </w:rPr>
      </w:pPr>
    </w:p>
    <w:p w14:paraId="15BF9485" w14:textId="77777777" w:rsidR="00656A5D" w:rsidRPr="006762E1" w:rsidRDefault="00656A5D" w:rsidP="006762E1">
      <w:pPr>
        <w:pStyle w:val="Ttulo"/>
        <w:spacing w:line="480" w:lineRule="auto"/>
        <w:jc w:val="center"/>
        <w:rPr>
          <w:rFonts w:ascii="Times New Roman" w:hAnsi="Times New Roman" w:cs="Times New Roman"/>
          <w:sz w:val="36"/>
          <w:szCs w:val="36"/>
        </w:rPr>
      </w:pPr>
      <w:r w:rsidRPr="006762E1">
        <w:rPr>
          <w:rFonts w:ascii="Times New Roman" w:hAnsi="Times New Roman" w:cs="Times New Roman"/>
          <w:sz w:val="36"/>
          <w:szCs w:val="36"/>
        </w:rPr>
        <w:t>Computación Científica Actuarial</w:t>
      </w:r>
    </w:p>
    <w:p w14:paraId="71B18183" w14:textId="77777777" w:rsidR="000009E4" w:rsidRPr="00D477D2" w:rsidRDefault="000009E4" w:rsidP="00D477D2">
      <w:pPr>
        <w:spacing w:line="480" w:lineRule="auto"/>
        <w:rPr>
          <w:rFonts w:ascii="Times New Roman" w:hAnsi="Times New Roman" w:cs="Times New Roman"/>
          <w:sz w:val="24"/>
          <w:szCs w:val="24"/>
        </w:rPr>
      </w:pPr>
    </w:p>
    <w:p w14:paraId="41C27E91" w14:textId="77777777" w:rsidR="00661D07" w:rsidRPr="00D477D2" w:rsidRDefault="00661D07" w:rsidP="00D477D2">
      <w:pPr>
        <w:spacing w:line="480" w:lineRule="auto"/>
        <w:rPr>
          <w:rFonts w:ascii="Times New Roman" w:hAnsi="Times New Roman" w:cs="Times New Roman"/>
          <w:sz w:val="24"/>
          <w:szCs w:val="24"/>
        </w:rPr>
      </w:pPr>
    </w:p>
    <w:p w14:paraId="5D7E63CE" w14:textId="77777777" w:rsidR="00661D07" w:rsidRPr="00D477D2" w:rsidRDefault="00661D07" w:rsidP="00D477D2">
      <w:pPr>
        <w:spacing w:line="480" w:lineRule="auto"/>
        <w:rPr>
          <w:rFonts w:ascii="Times New Roman" w:hAnsi="Times New Roman" w:cs="Times New Roman"/>
          <w:sz w:val="24"/>
          <w:szCs w:val="24"/>
        </w:rPr>
      </w:pPr>
    </w:p>
    <w:p w14:paraId="54C7BB96" w14:textId="77777777" w:rsidR="00661D07" w:rsidRPr="00D477D2" w:rsidRDefault="00661D07" w:rsidP="00D477D2">
      <w:pPr>
        <w:pStyle w:val="Ttulo1"/>
        <w:spacing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Alumnos</w:t>
      </w:r>
    </w:p>
    <w:p w14:paraId="0D745CF6" w14:textId="77777777" w:rsidR="00661D07" w:rsidRPr="00D477D2" w:rsidRDefault="00661D07" w:rsidP="00D477D2">
      <w:pPr>
        <w:spacing w:line="480" w:lineRule="auto"/>
        <w:rPr>
          <w:rStyle w:val="nfasissutil"/>
          <w:rFonts w:ascii="Times New Roman" w:hAnsi="Times New Roman" w:cs="Times New Roman"/>
          <w:sz w:val="24"/>
          <w:szCs w:val="24"/>
        </w:rPr>
      </w:pPr>
      <w:r w:rsidRPr="00D477D2">
        <w:rPr>
          <w:rStyle w:val="nfasissutil"/>
          <w:rFonts w:ascii="Times New Roman" w:hAnsi="Times New Roman" w:cs="Times New Roman"/>
          <w:sz w:val="24"/>
          <w:szCs w:val="24"/>
        </w:rPr>
        <w:t>888530 Ivan Weyner</w:t>
      </w:r>
    </w:p>
    <w:p w14:paraId="441EF952" w14:textId="77777777" w:rsidR="00661D07" w:rsidRPr="00D477D2" w:rsidRDefault="00661D07" w:rsidP="00D477D2">
      <w:pPr>
        <w:spacing w:line="480" w:lineRule="auto"/>
        <w:rPr>
          <w:rStyle w:val="nfasissutil"/>
          <w:rFonts w:ascii="Times New Roman" w:hAnsi="Times New Roman" w:cs="Times New Roman"/>
          <w:sz w:val="24"/>
          <w:szCs w:val="24"/>
        </w:rPr>
      </w:pPr>
      <w:r w:rsidRPr="00D477D2">
        <w:rPr>
          <w:rStyle w:val="nfasissutil"/>
          <w:rFonts w:ascii="Times New Roman" w:hAnsi="Times New Roman" w:cs="Times New Roman"/>
          <w:sz w:val="24"/>
          <w:szCs w:val="24"/>
        </w:rPr>
        <w:t>889411 Cristian Soto</w:t>
      </w:r>
    </w:p>
    <w:p w14:paraId="4B563270" w14:textId="10C7F163" w:rsidR="00661D07" w:rsidRPr="006762E1" w:rsidRDefault="00661D07" w:rsidP="00D477D2">
      <w:pPr>
        <w:spacing w:line="480" w:lineRule="auto"/>
        <w:rPr>
          <w:rFonts w:ascii="Times New Roman" w:hAnsi="Times New Roman" w:cs="Times New Roman"/>
          <w:i/>
          <w:iCs/>
          <w:color w:val="404040" w:themeColor="text1" w:themeTint="BF"/>
          <w:sz w:val="24"/>
          <w:szCs w:val="24"/>
        </w:rPr>
      </w:pPr>
      <w:r w:rsidRPr="00D477D2">
        <w:rPr>
          <w:rStyle w:val="nfasissutil"/>
          <w:rFonts w:ascii="Times New Roman" w:hAnsi="Times New Roman" w:cs="Times New Roman"/>
          <w:sz w:val="24"/>
          <w:szCs w:val="24"/>
        </w:rPr>
        <w:t xml:space="preserve">892247 Federico </w:t>
      </w:r>
      <w:proofErr w:type="spellStart"/>
      <w:r w:rsidRPr="00D477D2">
        <w:rPr>
          <w:rStyle w:val="nfasissutil"/>
          <w:rFonts w:ascii="Times New Roman" w:hAnsi="Times New Roman" w:cs="Times New Roman"/>
          <w:sz w:val="24"/>
          <w:szCs w:val="24"/>
        </w:rPr>
        <w:t>von</w:t>
      </w:r>
      <w:proofErr w:type="spellEnd"/>
      <w:r w:rsidRPr="00D477D2">
        <w:rPr>
          <w:rStyle w:val="nfasissutil"/>
          <w:rFonts w:ascii="Times New Roman" w:hAnsi="Times New Roman" w:cs="Times New Roman"/>
          <w:sz w:val="24"/>
          <w:szCs w:val="24"/>
        </w:rPr>
        <w:t xml:space="preserve"> </w:t>
      </w:r>
      <w:proofErr w:type="spellStart"/>
      <w:r w:rsidRPr="00D477D2">
        <w:rPr>
          <w:rStyle w:val="nfasissutil"/>
          <w:rFonts w:ascii="Times New Roman" w:hAnsi="Times New Roman" w:cs="Times New Roman"/>
          <w:sz w:val="24"/>
          <w:szCs w:val="24"/>
        </w:rPr>
        <w:t>Brudersdorff</w:t>
      </w:r>
      <w:proofErr w:type="spellEnd"/>
    </w:p>
    <w:p w14:paraId="74513426" w14:textId="6184249A" w:rsidR="00661D07" w:rsidRPr="006762E1" w:rsidRDefault="00661D07" w:rsidP="006762E1">
      <w:pPr>
        <w:pStyle w:val="Ttulo1"/>
        <w:spacing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Profesor</w:t>
      </w:r>
    </w:p>
    <w:p w14:paraId="6A4A927C" w14:textId="77777777" w:rsidR="00661D07" w:rsidRPr="00D477D2" w:rsidRDefault="00661D07" w:rsidP="00D477D2">
      <w:pPr>
        <w:spacing w:line="480" w:lineRule="auto"/>
        <w:rPr>
          <w:rStyle w:val="nfasissutil"/>
          <w:rFonts w:ascii="Times New Roman" w:hAnsi="Times New Roman" w:cs="Times New Roman"/>
          <w:sz w:val="24"/>
          <w:szCs w:val="24"/>
        </w:rPr>
      </w:pPr>
      <w:r w:rsidRPr="00D477D2">
        <w:rPr>
          <w:rStyle w:val="nfasissutil"/>
          <w:rFonts w:ascii="Times New Roman" w:hAnsi="Times New Roman" w:cs="Times New Roman"/>
          <w:sz w:val="24"/>
          <w:szCs w:val="24"/>
        </w:rPr>
        <w:t xml:space="preserve">Rodrigo Del Rosso </w:t>
      </w:r>
    </w:p>
    <w:p w14:paraId="49E2827A" w14:textId="77777777" w:rsidR="00661D07" w:rsidRPr="00D477D2" w:rsidRDefault="00661D07" w:rsidP="00D477D2">
      <w:pPr>
        <w:pStyle w:val="Ttulo1"/>
        <w:spacing w:line="480" w:lineRule="auto"/>
        <w:rPr>
          <w:rStyle w:val="nfasissutil"/>
          <w:rFonts w:ascii="Times New Roman" w:hAnsi="Times New Roman" w:cs="Times New Roman"/>
          <w:sz w:val="24"/>
          <w:szCs w:val="24"/>
        </w:rPr>
      </w:pPr>
      <w:r w:rsidRPr="00D477D2">
        <w:rPr>
          <w:rFonts w:ascii="Times New Roman" w:hAnsi="Times New Roman" w:cs="Times New Roman"/>
          <w:i/>
          <w:iCs/>
          <w:sz w:val="24"/>
          <w:szCs w:val="24"/>
          <w:u w:val="single"/>
        </w:rPr>
        <w:t>Colaboradores</w:t>
      </w:r>
      <w:r w:rsidRPr="00D477D2">
        <w:rPr>
          <w:rStyle w:val="nfasissutil"/>
          <w:rFonts w:ascii="Times New Roman" w:hAnsi="Times New Roman" w:cs="Times New Roman"/>
          <w:sz w:val="24"/>
          <w:szCs w:val="24"/>
        </w:rPr>
        <w:t xml:space="preserve">: </w:t>
      </w:r>
    </w:p>
    <w:p w14:paraId="21289B30" w14:textId="257D0648" w:rsidR="00661D07" w:rsidRPr="006762E1" w:rsidRDefault="00661D07" w:rsidP="00D477D2">
      <w:pPr>
        <w:spacing w:line="480" w:lineRule="auto"/>
        <w:rPr>
          <w:rFonts w:ascii="Times New Roman" w:hAnsi="Times New Roman" w:cs="Times New Roman"/>
          <w:i/>
          <w:iCs/>
          <w:color w:val="404040" w:themeColor="text1" w:themeTint="BF"/>
          <w:sz w:val="24"/>
          <w:szCs w:val="24"/>
        </w:rPr>
      </w:pPr>
      <w:r w:rsidRPr="00D477D2">
        <w:rPr>
          <w:rStyle w:val="nfasissutil"/>
          <w:rFonts w:ascii="Times New Roman" w:hAnsi="Times New Roman" w:cs="Times New Roman"/>
          <w:sz w:val="24"/>
          <w:szCs w:val="24"/>
        </w:rPr>
        <w:t>Santiago Silva – Joaquín Auza</w:t>
      </w:r>
    </w:p>
    <w:p w14:paraId="2DD6394F" w14:textId="77777777" w:rsidR="00661D07" w:rsidRPr="006762E1" w:rsidRDefault="00661D07" w:rsidP="00D477D2">
      <w:pPr>
        <w:pStyle w:val="Ttulo1"/>
        <w:spacing w:line="480" w:lineRule="auto"/>
        <w:rPr>
          <w:rFonts w:ascii="Times New Roman" w:hAnsi="Times New Roman" w:cs="Times New Roman"/>
          <w:sz w:val="28"/>
          <w:szCs w:val="28"/>
          <w:u w:val="single"/>
        </w:rPr>
      </w:pPr>
      <w:r w:rsidRPr="006762E1">
        <w:rPr>
          <w:rFonts w:ascii="Times New Roman" w:hAnsi="Times New Roman" w:cs="Times New Roman"/>
          <w:sz w:val="28"/>
          <w:szCs w:val="28"/>
          <w:u w:val="single"/>
        </w:rPr>
        <w:lastRenderedPageBreak/>
        <w:t>Introducción</w:t>
      </w:r>
    </w:p>
    <w:p w14:paraId="0E61605F" w14:textId="12DF0415" w:rsidR="00661D07" w:rsidRPr="00D477D2" w:rsidRDefault="00661D07" w:rsidP="00D477D2">
      <w:pPr>
        <w:spacing w:line="480" w:lineRule="auto"/>
        <w:rPr>
          <w:rFonts w:ascii="Times New Roman" w:hAnsi="Times New Roman" w:cs="Times New Roman"/>
          <w:sz w:val="24"/>
          <w:szCs w:val="24"/>
        </w:rPr>
      </w:pPr>
    </w:p>
    <w:p w14:paraId="74B02E45" w14:textId="1AC2228C" w:rsidR="00432F42" w:rsidRPr="00D477D2" w:rsidRDefault="00063F94"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Índice</w:t>
      </w:r>
      <w:r w:rsidR="00432F42" w:rsidRPr="00D477D2">
        <w:rPr>
          <w:rFonts w:ascii="Times New Roman" w:hAnsi="Times New Roman" w:cs="Times New Roman"/>
          <w:sz w:val="24"/>
          <w:szCs w:val="24"/>
        </w:rPr>
        <w:t xml:space="preserve"> </w:t>
      </w:r>
      <w:r w:rsidRPr="00D477D2">
        <w:rPr>
          <w:rFonts w:ascii="Times New Roman" w:hAnsi="Times New Roman" w:cs="Times New Roman"/>
          <w:sz w:val="24"/>
          <w:szCs w:val="24"/>
        </w:rPr>
        <w:t>Bursátil</w:t>
      </w:r>
      <w:r w:rsidR="00432F42" w:rsidRPr="00D477D2">
        <w:rPr>
          <w:rFonts w:ascii="Times New Roman" w:hAnsi="Times New Roman" w:cs="Times New Roman"/>
          <w:sz w:val="24"/>
          <w:szCs w:val="24"/>
        </w:rPr>
        <w:t xml:space="preserve">: Un índice bursátil es un índice de referencia que se forma con un conjunto de valores cotizados en una bolsa de valores. Es muy útil para poder analizar las variaciones del precio de varias empresas de un solo vistazo. </w:t>
      </w:r>
    </w:p>
    <w:p w14:paraId="76B10F83" w14:textId="38006E75" w:rsidR="00C74135" w:rsidRPr="00D477D2" w:rsidRDefault="00C74135"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obtuvo a partir de la función tq_get, desde la base de “</w:t>
      </w:r>
      <w:proofErr w:type="gramStart"/>
      <w:r w:rsidRPr="00D477D2">
        <w:rPr>
          <w:rFonts w:ascii="Times New Roman" w:hAnsi="Times New Roman" w:cs="Times New Roman"/>
          <w:sz w:val="24"/>
          <w:szCs w:val="24"/>
        </w:rPr>
        <w:t>stock.prices</w:t>
      </w:r>
      <w:proofErr w:type="gramEnd"/>
      <w:r w:rsidRPr="00D477D2">
        <w:rPr>
          <w:rFonts w:ascii="Times New Roman" w:hAnsi="Times New Roman" w:cs="Times New Roman"/>
          <w:sz w:val="24"/>
          <w:szCs w:val="24"/>
        </w:rPr>
        <w:t>” los valores de los siguientes índices</w:t>
      </w:r>
      <w:r w:rsidR="00A24A77" w:rsidRPr="00D477D2">
        <w:rPr>
          <w:rFonts w:ascii="Times New Roman" w:hAnsi="Times New Roman" w:cs="Times New Roman"/>
          <w:sz w:val="24"/>
          <w:szCs w:val="24"/>
        </w:rPr>
        <w:t xml:space="preserve"> desde el año 2014 hasta el 2019</w:t>
      </w:r>
      <w:r w:rsidRPr="00D477D2">
        <w:rPr>
          <w:rFonts w:ascii="Times New Roman" w:hAnsi="Times New Roman" w:cs="Times New Roman"/>
          <w:sz w:val="24"/>
          <w:szCs w:val="24"/>
        </w:rPr>
        <w:t>:</w:t>
      </w:r>
    </w:p>
    <w:p w14:paraId="3FE857F3" w14:textId="0588D676"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MERVAL</w:t>
      </w:r>
    </w:p>
    <w:p w14:paraId="6D9830C0" w14:textId="68A19868"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SP500</w:t>
      </w:r>
    </w:p>
    <w:p w14:paraId="1A60C392" w14:textId="13FC94FF"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NIKKEI225</w:t>
      </w:r>
    </w:p>
    <w:p w14:paraId="5BECC87C" w14:textId="7EEA05B3"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FTSE100</w:t>
      </w:r>
    </w:p>
    <w:p w14:paraId="72E98F8C" w14:textId="6B31A81D"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DAX</w:t>
      </w:r>
    </w:p>
    <w:p w14:paraId="6B0B5904" w14:textId="5D511FCF"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IBEX35</w:t>
      </w:r>
    </w:p>
    <w:p w14:paraId="1A98841E" w14:textId="687A33D9"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SHANGAI</w:t>
      </w:r>
    </w:p>
    <w:p w14:paraId="332407D7" w14:textId="35AE1D74"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IPCMEX</w:t>
      </w:r>
    </w:p>
    <w:p w14:paraId="73ACA967" w14:textId="2419475E"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SENSEX (INDIA)</w:t>
      </w:r>
    </w:p>
    <w:p w14:paraId="78D3A6FA" w14:textId="40CAF0CE"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IBOVESPA (BRASIL)</w:t>
      </w:r>
    </w:p>
    <w:p w14:paraId="6374E456" w14:textId="40ECBFA1" w:rsidR="00432F42" w:rsidRPr="00D477D2" w:rsidRDefault="00C74135"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Para poder realizar una comparación consistente y adecuada se pasaron los precios del merval a USD a través de un tipo de cambio obtenido con la función tq_get</w:t>
      </w:r>
    </w:p>
    <w:p w14:paraId="48BAD9BA" w14:textId="2C686049" w:rsidR="00661D07" w:rsidRPr="00D477D2" w:rsidRDefault="00661D07"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Los inversores racionales prefieren una cartera a un solo activo dado que un</w:t>
      </w:r>
      <w:r w:rsidR="00784115" w:rsidRPr="00D477D2">
        <w:rPr>
          <w:rFonts w:ascii="Times New Roman" w:hAnsi="Times New Roman" w:cs="Times New Roman"/>
          <w:sz w:val="24"/>
          <w:szCs w:val="24"/>
        </w:rPr>
        <w:t>a cartera bien diversificada ofrece una mejor compensación de riesgo/ rendimiento debido a una covarianza baja o negativa entre los activos de la cartera.</w:t>
      </w:r>
      <w:bookmarkStart w:id="0" w:name="_GoBack"/>
      <w:bookmarkEnd w:id="0"/>
    </w:p>
    <w:p w14:paraId="0FCD70D5" w14:textId="4866C5EE" w:rsidR="0047755F" w:rsidRPr="006762E1" w:rsidRDefault="00661D07" w:rsidP="006762E1">
      <w:pPr>
        <w:pStyle w:val="Ttulo1"/>
        <w:spacing w:line="480" w:lineRule="auto"/>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62E1">
        <w:rPr>
          <w:rFonts w:ascii="Times New Roman" w:hAnsi="Times New Roman" w:cs="Times New Roman"/>
          <w:sz w:val="28"/>
          <w:szCs w:val="28"/>
          <w:u w:val="single"/>
        </w:rPr>
        <w:lastRenderedPageBreak/>
        <w:t>Marco Teórico</w:t>
      </w:r>
    </w:p>
    <w:p w14:paraId="41F36A7F" w14:textId="1D252CED" w:rsidR="0047755F" w:rsidRPr="00D477D2" w:rsidRDefault="0047755F"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u w:val="single"/>
        </w:rPr>
        <w:t>Modelo de Markowitz:</w:t>
      </w:r>
      <w:r w:rsidRPr="00D477D2">
        <w:rPr>
          <w:rFonts w:ascii="Times New Roman" w:hAnsi="Times New Roman" w:cs="Times New Roman"/>
          <w:sz w:val="24"/>
          <w:szCs w:val="24"/>
        </w:rPr>
        <w:t xml:space="preserve"> el objetivo consiste en encontrar la cartera de inversión óptima para cada inversor en términos de rentabilidad y riesgo realizando una adecuada elección de los activos que componen dicha cartera. Los supuestos que maneja este modelo son:</w:t>
      </w:r>
    </w:p>
    <w:p w14:paraId="607F0E58" w14:textId="573CD4B5" w:rsidR="0047755F" w:rsidRPr="00D477D2" w:rsidRDefault="0047755F" w:rsidP="00D477D2">
      <w:pPr>
        <w:pStyle w:val="Prrafodelista"/>
        <w:numPr>
          <w:ilvl w:val="0"/>
          <w:numId w:val="2"/>
        </w:numPr>
        <w:spacing w:line="480" w:lineRule="auto"/>
        <w:rPr>
          <w:rFonts w:ascii="Times New Roman" w:hAnsi="Times New Roman" w:cs="Times New Roman"/>
          <w:sz w:val="24"/>
          <w:szCs w:val="24"/>
        </w:rPr>
      </w:pPr>
      <w:r w:rsidRPr="00D477D2">
        <w:rPr>
          <w:rFonts w:ascii="Times New Roman" w:hAnsi="Times New Roman" w:cs="Times New Roman"/>
          <w:sz w:val="24"/>
          <w:szCs w:val="24"/>
        </w:rPr>
        <w:t>La rentabilidad de una cartera viene dada por su esperanza matemática o media.</w:t>
      </w:r>
    </w:p>
    <w:p w14:paraId="735B850D" w14:textId="7C60F0D1" w:rsidR="0047755F" w:rsidRPr="00D477D2" w:rsidRDefault="0047755F" w:rsidP="00D477D2">
      <w:pPr>
        <w:pStyle w:val="Prrafodelista"/>
        <w:numPr>
          <w:ilvl w:val="0"/>
          <w:numId w:val="2"/>
        </w:numPr>
        <w:spacing w:line="480" w:lineRule="auto"/>
        <w:rPr>
          <w:rFonts w:ascii="Times New Roman" w:hAnsi="Times New Roman" w:cs="Times New Roman"/>
          <w:sz w:val="24"/>
          <w:szCs w:val="24"/>
        </w:rPr>
      </w:pPr>
      <w:r w:rsidRPr="00D477D2">
        <w:rPr>
          <w:rFonts w:ascii="Times New Roman" w:hAnsi="Times New Roman" w:cs="Times New Roman"/>
          <w:sz w:val="24"/>
          <w:szCs w:val="24"/>
        </w:rPr>
        <w:t>El riesgo de una cartera se mide a través de la volatilidad (según la varianza o desviación típica).</w:t>
      </w:r>
    </w:p>
    <w:p w14:paraId="568A4A68" w14:textId="259E8D6B" w:rsidR="0047755F" w:rsidRPr="00D477D2" w:rsidRDefault="0047755F" w:rsidP="00D477D2">
      <w:pPr>
        <w:pStyle w:val="Prrafodelista"/>
        <w:numPr>
          <w:ilvl w:val="0"/>
          <w:numId w:val="2"/>
        </w:numPr>
        <w:spacing w:line="480" w:lineRule="auto"/>
        <w:rPr>
          <w:rFonts w:ascii="Times New Roman" w:hAnsi="Times New Roman" w:cs="Times New Roman"/>
          <w:sz w:val="24"/>
          <w:szCs w:val="24"/>
        </w:rPr>
      </w:pPr>
      <w:r w:rsidRPr="00D477D2">
        <w:rPr>
          <w:rFonts w:ascii="Times New Roman" w:hAnsi="Times New Roman" w:cs="Times New Roman"/>
          <w:sz w:val="24"/>
          <w:szCs w:val="24"/>
        </w:rPr>
        <w:t>El inversor siempre prefiere la cartera con mayor rentabilidad y menor riesgo. Ver relación rentabilidad, riesgo y liquidez.</w:t>
      </w:r>
    </w:p>
    <w:p w14:paraId="4EA3FE7D" w14:textId="3EB26588" w:rsidR="0047755F" w:rsidRPr="00D477D2" w:rsidRDefault="0047755F"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Para reducir el riesgo de una inversión, se realiza una diversificación de cartera, es decir, componer la cartera con distintos tipos de activos con el objetivo principal de reducir los riesgos de la </w:t>
      </w:r>
      <w:r w:rsidR="00153588" w:rsidRPr="00D477D2">
        <w:rPr>
          <w:rFonts w:ascii="Times New Roman" w:hAnsi="Times New Roman" w:cs="Times New Roman"/>
          <w:sz w:val="24"/>
          <w:szCs w:val="24"/>
        </w:rPr>
        <w:t>inversión</w:t>
      </w:r>
    </w:p>
    <w:p w14:paraId="23AC3BB1" w14:textId="77777777"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La esperanza matemática del rendimiento de un portafolio resulta ser el promedio de los n rendimientos esperados individuales, ponderados por la participación de cada activo individual en el portafolio:</w:t>
      </w:r>
    </w:p>
    <w:p w14:paraId="3589B142" w14:textId="0626D353" w:rsidR="0047755F"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noProof/>
          <w:sz w:val="24"/>
          <w:szCs w:val="24"/>
        </w:rPr>
        <w:drawing>
          <wp:inline distT="0" distB="0" distL="0" distR="0" wp14:anchorId="69F6554B" wp14:editId="2A331E86">
            <wp:extent cx="4048125" cy="447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447675"/>
                    </a:xfrm>
                    <a:prstGeom prst="rect">
                      <a:avLst/>
                    </a:prstGeom>
                  </pic:spPr>
                </pic:pic>
              </a:graphicData>
            </a:graphic>
          </wp:inline>
        </w:drawing>
      </w:r>
    </w:p>
    <w:p w14:paraId="1A85C60F" w14:textId="2D798416"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Mientras que la varianza de la cartera está determinada por:</w:t>
      </w:r>
    </w:p>
    <w:p w14:paraId="0171F962" w14:textId="147EBAE9"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noProof/>
          <w:sz w:val="24"/>
          <w:szCs w:val="24"/>
        </w:rPr>
        <w:lastRenderedPageBreak/>
        <w:drawing>
          <wp:inline distT="0" distB="0" distL="0" distR="0" wp14:anchorId="7EE7B4BC" wp14:editId="1A0D8A48">
            <wp:extent cx="3467100" cy="2924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2924175"/>
                    </a:xfrm>
                    <a:prstGeom prst="rect">
                      <a:avLst/>
                    </a:prstGeom>
                  </pic:spPr>
                </pic:pic>
              </a:graphicData>
            </a:graphic>
          </wp:inline>
        </w:drawing>
      </w:r>
    </w:p>
    <w:p w14:paraId="5CD52C73" w14:textId="6E359051"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observa que entre más baja sea la covarianza (o correlación) entre los retornos de los activos individuales, menor será la variabilidad (riesgo) del portafolio. Así, el poder de diversificación de un portafolio está en la correlación. Los portafolios que incluyan activos con la menor correlación posible (especialmente negativa) presentarán menor volatilidad –menor riesgo– que aquellos que incluyan activos altamente correlacionados.</w:t>
      </w:r>
    </w:p>
    <w:p w14:paraId="17EE5D9A" w14:textId="3E21875F" w:rsidR="00153588" w:rsidRPr="00D477D2" w:rsidRDefault="00153588" w:rsidP="00D477D2">
      <w:pPr>
        <w:spacing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Ratio de Sharpe</w:t>
      </w:r>
      <w:r w:rsidRPr="00D477D2">
        <w:rPr>
          <w:rFonts w:ascii="Times New Roman" w:hAnsi="Times New Roman" w:cs="Times New Roman"/>
          <w:sz w:val="24"/>
          <w:szCs w:val="24"/>
        </w:rPr>
        <w:t>: indica la rentabilidad de la inversión ajustada a su riesgo.</w:t>
      </w:r>
    </w:p>
    <w:p w14:paraId="51BA5620" w14:textId="1F44B4B2"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Cuando se comparan dos inversiones, cada una con un determinado rendimiento esperado contra el rendimiento del activo de referencia (Rf), la inversión con la ratio de Sharpe más alta proporciona mayor rendimiento para un mismo nivel de riesgo. Los inversionistas suelen inclinarse por inversiones que tengan una ratio de Sharpe alta. Si </w:t>
      </w:r>
      <w:proofErr w:type="gramStart"/>
      <w:r w:rsidRPr="00D477D2">
        <w:rPr>
          <w:rFonts w:ascii="Times New Roman" w:hAnsi="Times New Roman" w:cs="Times New Roman"/>
          <w:sz w:val="24"/>
          <w:szCs w:val="24"/>
        </w:rPr>
        <w:t>el ratio</w:t>
      </w:r>
      <w:proofErr w:type="gramEnd"/>
      <w:r w:rsidRPr="00D477D2">
        <w:rPr>
          <w:rFonts w:ascii="Times New Roman" w:hAnsi="Times New Roman" w:cs="Times New Roman"/>
          <w:sz w:val="24"/>
          <w:szCs w:val="24"/>
        </w:rPr>
        <w:t xml:space="preserve"> de Sharpe es negativo indica que la rentabilidad de la inversión ha sido menor a la rentabilidad de un activo sin riesgo. Es decir que es más rentable invertir el dinero en bonos o depósitos sin riesgo, que invertir en este fondo.</w:t>
      </w:r>
    </w:p>
    <w:p w14:paraId="41F607CE" w14:textId="138496CA" w:rsidR="00661D07" w:rsidRPr="006762E1" w:rsidRDefault="00661D07" w:rsidP="00D477D2">
      <w:pPr>
        <w:pStyle w:val="Ttulo1"/>
        <w:spacing w:line="480" w:lineRule="auto"/>
        <w:rPr>
          <w:rFonts w:ascii="Times New Roman" w:hAnsi="Times New Roman" w:cs="Times New Roman"/>
          <w:sz w:val="28"/>
          <w:szCs w:val="28"/>
          <w:u w:val="single"/>
        </w:rPr>
      </w:pPr>
      <w:r w:rsidRPr="006762E1">
        <w:rPr>
          <w:rFonts w:ascii="Times New Roman" w:hAnsi="Times New Roman" w:cs="Times New Roman"/>
          <w:sz w:val="28"/>
          <w:szCs w:val="28"/>
          <w:u w:val="single"/>
        </w:rPr>
        <w:lastRenderedPageBreak/>
        <w:t>Análisis de resultados</w:t>
      </w:r>
    </w:p>
    <w:p w14:paraId="60997AAE" w14:textId="475F3A24" w:rsidR="00063F94" w:rsidRPr="00D477D2" w:rsidRDefault="00063F94" w:rsidP="00D477D2">
      <w:pPr>
        <w:spacing w:line="480" w:lineRule="auto"/>
        <w:rPr>
          <w:rFonts w:ascii="Times New Roman" w:hAnsi="Times New Roman" w:cs="Times New Roman"/>
          <w:b/>
          <w:bCs/>
          <w:sz w:val="24"/>
          <w:szCs w:val="24"/>
        </w:rPr>
      </w:pPr>
      <w:r w:rsidRPr="00D477D2">
        <w:rPr>
          <w:rFonts w:ascii="Times New Roman" w:hAnsi="Times New Roman" w:cs="Times New Roman"/>
          <w:b/>
          <w:bCs/>
          <w:sz w:val="24"/>
          <w:szCs w:val="24"/>
        </w:rPr>
        <w:t>Herramientas de trabajo:</w:t>
      </w:r>
    </w:p>
    <w:p w14:paraId="2B4656EA" w14:textId="55C4E09B"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Función </w:t>
      </w:r>
      <w:proofErr w:type="spellStart"/>
      <w:r w:rsidRPr="00D477D2">
        <w:rPr>
          <w:rFonts w:ascii="Times New Roman" w:hAnsi="Times New Roman" w:cs="Times New Roman"/>
          <w:sz w:val="24"/>
          <w:szCs w:val="24"/>
        </w:rPr>
        <w:t>delete_na_values</w:t>
      </w:r>
      <w:proofErr w:type="spellEnd"/>
      <w:r w:rsidRPr="00D477D2">
        <w:rPr>
          <w:rFonts w:ascii="Times New Roman" w:hAnsi="Times New Roman" w:cs="Times New Roman"/>
          <w:sz w:val="24"/>
          <w:szCs w:val="24"/>
        </w:rPr>
        <w:t>: permite eliminar los valores NA de los índices utilizados</w:t>
      </w:r>
    </w:p>
    <w:p w14:paraId="1E508259" w14:textId="1AF13206"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Función </w:t>
      </w:r>
      <w:proofErr w:type="spellStart"/>
      <w:r w:rsidRPr="00D477D2">
        <w:rPr>
          <w:rFonts w:ascii="Times New Roman" w:hAnsi="Times New Roman" w:cs="Times New Roman"/>
          <w:sz w:val="24"/>
          <w:szCs w:val="24"/>
        </w:rPr>
        <w:t>actualizar_precios</w:t>
      </w:r>
      <w:proofErr w:type="spellEnd"/>
      <w:r w:rsidRPr="00D477D2">
        <w:rPr>
          <w:rFonts w:ascii="Times New Roman" w:hAnsi="Times New Roman" w:cs="Times New Roman"/>
          <w:sz w:val="24"/>
          <w:szCs w:val="24"/>
        </w:rPr>
        <w:t>: para poder ajustar los</w:t>
      </w:r>
      <w:r w:rsidR="00054B6D" w:rsidRPr="00D477D2">
        <w:rPr>
          <w:rFonts w:ascii="Times New Roman" w:hAnsi="Times New Roman" w:cs="Times New Roman"/>
          <w:sz w:val="24"/>
          <w:szCs w:val="24"/>
        </w:rPr>
        <w:t xml:space="preserve"> precios de </w:t>
      </w:r>
      <w:r w:rsidR="00D1481D" w:rsidRPr="00D477D2">
        <w:rPr>
          <w:rFonts w:ascii="Times New Roman" w:hAnsi="Times New Roman" w:cs="Times New Roman"/>
          <w:sz w:val="24"/>
          <w:szCs w:val="24"/>
        </w:rPr>
        <w:t>los índices</w:t>
      </w:r>
      <w:r w:rsidRPr="00D477D2">
        <w:rPr>
          <w:rFonts w:ascii="Times New Roman" w:hAnsi="Times New Roman" w:cs="Times New Roman"/>
          <w:sz w:val="24"/>
          <w:szCs w:val="24"/>
        </w:rPr>
        <w:t xml:space="preserve"> a través del tipo de cambio</w:t>
      </w:r>
    </w:p>
    <w:p w14:paraId="0BAFED12" w14:textId="0F3A7AC1"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Función </w:t>
      </w:r>
      <w:proofErr w:type="spellStart"/>
      <w:r w:rsidRPr="00D477D2">
        <w:rPr>
          <w:rFonts w:ascii="Times New Roman" w:hAnsi="Times New Roman" w:cs="Times New Roman"/>
          <w:sz w:val="24"/>
          <w:szCs w:val="24"/>
        </w:rPr>
        <w:t>graficar_precios</w:t>
      </w:r>
      <w:proofErr w:type="spellEnd"/>
      <w:proofErr w:type="gramStart"/>
      <w:r w:rsidRPr="00D477D2">
        <w:rPr>
          <w:rFonts w:ascii="Times New Roman" w:hAnsi="Times New Roman" w:cs="Times New Roman"/>
          <w:sz w:val="24"/>
          <w:szCs w:val="24"/>
        </w:rPr>
        <w:t xml:space="preserve">: </w:t>
      </w:r>
      <w:r w:rsidR="00A46C11" w:rsidRPr="00D477D2">
        <w:rPr>
          <w:rFonts w:ascii="Times New Roman" w:hAnsi="Times New Roman" w:cs="Times New Roman"/>
          <w:sz w:val="24"/>
          <w:szCs w:val="24"/>
        </w:rPr>
        <w:t>:</w:t>
      </w:r>
      <w:proofErr w:type="gramEnd"/>
      <w:r w:rsidR="00A46C11" w:rsidRPr="00D477D2">
        <w:rPr>
          <w:rFonts w:ascii="Times New Roman" w:hAnsi="Times New Roman" w:cs="Times New Roman"/>
          <w:sz w:val="24"/>
          <w:szCs w:val="24"/>
        </w:rPr>
        <w:t xml:space="preserve"> realiza un </w:t>
      </w:r>
      <w:r w:rsidR="00D1481D" w:rsidRPr="00D477D2">
        <w:rPr>
          <w:rFonts w:ascii="Times New Roman" w:hAnsi="Times New Roman" w:cs="Times New Roman"/>
          <w:sz w:val="24"/>
          <w:szCs w:val="24"/>
        </w:rPr>
        <w:t>gráfico</w:t>
      </w:r>
      <w:r w:rsidR="00A46C11" w:rsidRPr="00D477D2">
        <w:rPr>
          <w:rFonts w:ascii="Times New Roman" w:hAnsi="Times New Roman" w:cs="Times New Roman"/>
          <w:sz w:val="24"/>
          <w:szCs w:val="24"/>
        </w:rPr>
        <w:t xml:space="preserve"> de serie de precios a través del tiempo</w:t>
      </w:r>
    </w:p>
    <w:p w14:paraId="2EE70DD1" w14:textId="4AAEFBF4" w:rsidR="00063F94" w:rsidRPr="00D477D2" w:rsidRDefault="00A46C11" w:rsidP="00D477D2">
      <w:pPr>
        <w:pStyle w:val="Prrafodelista"/>
        <w:numPr>
          <w:ilvl w:val="0"/>
          <w:numId w:val="4"/>
        </w:numPr>
        <w:spacing w:line="480" w:lineRule="auto"/>
        <w:rPr>
          <w:rFonts w:ascii="Times New Roman" w:hAnsi="Times New Roman" w:cs="Times New Roman"/>
          <w:sz w:val="24"/>
          <w:szCs w:val="24"/>
          <w:lang w:val="en-US"/>
        </w:rPr>
      </w:pPr>
      <w:proofErr w:type="spellStart"/>
      <w:r w:rsidRPr="00D477D2">
        <w:rPr>
          <w:rFonts w:ascii="Times New Roman" w:hAnsi="Times New Roman" w:cs="Times New Roman"/>
          <w:sz w:val="24"/>
          <w:szCs w:val="24"/>
          <w:lang w:val="en-US"/>
        </w:rPr>
        <w:t>Función</w:t>
      </w:r>
      <w:proofErr w:type="spellEnd"/>
      <w:r w:rsidRPr="00D477D2">
        <w:rPr>
          <w:rFonts w:ascii="Times New Roman" w:hAnsi="Times New Roman" w:cs="Times New Roman"/>
          <w:sz w:val="24"/>
          <w:szCs w:val="24"/>
          <w:lang w:val="en-US"/>
        </w:rPr>
        <w:t xml:space="preserve"> </w:t>
      </w:r>
      <w:proofErr w:type="spellStart"/>
      <w:r w:rsidR="00063F94" w:rsidRPr="00D477D2">
        <w:rPr>
          <w:rFonts w:ascii="Times New Roman" w:hAnsi="Times New Roman" w:cs="Times New Roman"/>
          <w:sz w:val="24"/>
          <w:szCs w:val="24"/>
          <w:lang w:val="en-US"/>
        </w:rPr>
        <w:t>graph_index_returns_monthly</w:t>
      </w:r>
      <w:proofErr w:type="spellEnd"/>
    </w:p>
    <w:p w14:paraId="200779D4" w14:textId="657E1AF6"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Función </w:t>
      </w:r>
      <w:proofErr w:type="spellStart"/>
      <w:r w:rsidRPr="00D477D2">
        <w:rPr>
          <w:rFonts w:ascii="Times New Roman" w:hAnsi="Times New Roman" w:cs="Times New Roman"/>
          <w:sz w:val="24"/>
          <w:szCs w:val="24"/>
        </w:rPr>
        <w:t>graph_density_returns</w:t>
      </w:r>
      <w:proofErr w:type="spellEnd"/>
      <w:r w:rsidR="00054B6D" w:rsidRPr="00D477D2">
        <w:rPr>
          <w:rFonts w:ascii="Times New Roman" w:hAnsi="Times New Roman" w:cs="Times New Roman"/>
          <w:sz w:val="24"/>
          <w:szCs w:val="24"/>
        </w:rPr>
        <w:t>: se obtiene el grafico de la distribución de densidad de las variables utilizadas</w:t>
      </w:r>
    </w:p>
    <w:p w14:paraId="21DE8E8F" w14:textId="2C65F48D" w:rsidR="00054B6D" w:rsidRPr="00D477D2"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Los siguientes gráficos fueron obtenidos a través de la función </w:t>
      </w:r>
      <w:proofErr w:type="spellStart"/>
      <w:r w:rsidRPr="00D477D2">
        <w:rPr>
          <w:rFonts w:ascii="Times New Roman" w:hAnsi="Times New Roman" w:cs="Times New Roman"/>
          <w:b/>
          <w:bCs/>
          <w:sz w:val="24"/>
          <w:szCs w:val="24"/>
        </w:rPr>
        <w:t>graficar_precios</w:t>
      </w:r>
      <w:proofErr w:type="spellEnd"/>
      <w:r w:rsidRPr="00D477D2">
        <w:rPr>
          <w:rFonts w:ascii="Times New Roman" w:hAnsi="Times New Roman" w:cs="Times New Roman"/>
          <w:sz w:val="24"/>
          <w:szCs w:val="24"/>
        </w:rPr>
        <w:t>:</w:t>
      </w:r>
    </w:p>
    <w:p w14:paraId="3F704ECE" w14:textId="71E5E357" w:rsidR="00555770" w:rsidRPr="006762E1" w:rsidRDefault="00054B6D" w:rsidP="006762E1">
      <w:pPr>
        <w:spacing w:line="480" w:lineRule="auto"/>
        <w:jc w:val="center"/>
        <w:rPr>
          <w:rFonts w:ascii="Times New Roman" w:hAnsi="Times New Roman" w:cs="Times New Roman"/>
          <w:b/>
          <w:bCs/>
          <w:noProof/>
          <w:sz w:val="28"/>
          <w:szCs w:val="28"/>
          <w:u w:val="single"/>
        </w:rPr>
      </w:pPr>
      <w:r w:rsidRPr="006762E1">
        <w:rPr>
          <w:rFonts w:ascii="Times New Roman" w:hAnsi="Times New Roman" w:cs="Times New Roman"/>
          <w:b/>
          <w:bCs/>
          <w:sz w:val="28"/>
          <w:szCs w:val="28"/>
          <w:u w:val="single"/>
        </w:rPr>
        <w:t>MERVAL</w:t>
      </w:r>
    </w:p>
    <w:p w14:paraId="5F3EEC80" w14:textId="608757A8" w:rsidR="00555770" w:rsidRPr="00D477D2" w:rsidRDefault="00555770" w:rsidP="006762E1">
      <w:pPr>
        <w:spacing w:line="480" w:lineRule="auto"/>
        <w:jc w:val="center"/>
        <w:rPr>
          <w:rFonts w:ascii="Times New Roman" w:hAnsi="Times New Roman" w:cs="Times New Roman"/>
          <w:sz w:val="24"/>
          <w:szCs w:val="24"/>
        </w:rPr>
      </w:pPr>
      <w:r w:rsidRPr="00D477D2">
        <w:rPr>
          <w:rFonts w:ascii="Times New Roman" w:hAnsi="Times New Roman" w:cs="Times New Roman"/>
          <w:noProof/>
          <w:sz w:val="24"/>
          <w:szCs w:val="24"/>
        </w:rPr>
        <w:drawing>
          <wp:inline distT="0" distB="0" distL="0" distR="0" wp14:anchorId="36C288A1" wp14:editId="7B44447B">
            <wp:extent cx="3743325" cy="2550795"/>
            <wp:effectExtent l="19050" t="19050" r="28575" b="209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014" cy="2580566"/>
                    </a:xfrm>
                    <a:prstGeom prst="rect">
                      <a:avLst/>
                    </a:prstGeom>
                    <a:ln>
                      <a:solidFill>
                        <a:schemeClr val="tx1"/>
                      </a:solidFill>
                    </a:ln>
                  </pic:spPr>
                </pic:pic>
              </a:graphicData>
            </a:graphic>
          </wp:inline>
        </w:drawing>
      </w:r>
    </w:p>
    <w:p w14:paraId="433AC0F7" w14:textId="1B4F6F80" w:rsidR="00160E61" w:rsidRPr="00D477D2" w:rsidRDefault="00160E61"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En este grafico podemos ver varios ciclos de baja y alta de los precios, probablemente debido a etapas ascendentes y depresivas de la economía argentina</w:t>
      </w:r>
      <w:r w:rsidR="00A24A77" w:rsidRPr="00D477D2">
        <w:rPr>
          <w:rFonts w:ascii="Times New Roman" w:hAnsi="Times New Roman" w:cs="Times New Roman"/>
          <w:sz w:val="24"/>
          <w:szCs w:val="24"/>
        </w:rPr>
        <w:t xml:space="preserve">. Podría considerarse </w:t>
      </w:r>
      <w:r w:rsidR="00A24A77" w:rsidRPr="00D477D2">
        <w:rPr>
          <w:rFonts w:ascii="Times New Roman" w:hAnsi="Times New Roman" w:cs="Times New Roman"/>
          <w:sz w:val="24"/>
          <w:szCs w:val="24"/>
        </w:rPr>
        <w:lastRenderedPageBreak/>
        <w:t>que presenta una cierta estacionalidad hasta el año 2018, donde luego decrece abruptamente.</w:t>
      </w:r>
    </w:p>
    <w:p w14:paraId="517554BF" w14:textId="0A52673A" w:rsidR="00054B6D" w:rsidRPr="00D477D2"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En cambio, si se realiza el grafico del merval en pesos se obtiene:</w:t>
      </w:r>
    </w:p>
    <w:p w14:paraId="15A834B3" w14:textId="164EDA1D" w:rsidR="00054B6D" w:rsidRPr="00D477D2" w:rsidRDefault="00EA2936" w:rsidP="00D477D2">
      <w:pPr>
        <w:spacing w:line="480" w:lineRule="auto"/>
        <w:rPr>
          <w:rFonts w:ascii="Times New Roman" w:hAnsi="Times New Roman" w:cs="Times New Roman"/>
          <w:sz w:val="24"/>
          <w:szCs w:val="24"/>
        </w:rPr>
      </w:pPr>
      <w:r w:rsidRPr="00D477D2">
        <w:rPr>
          <w:rFonts w:ascii="Times New Roman" w:hAnsi="Times New Roman" w:cs="Times New Roman"/>
          <w:noProof/>
          <w:sz w:val="24"/>
          <w:szCs w:val="24"/>
        </w:rPr>
        <w:drawing>
          <wp:anchor distT="0" distB="0" distL="114300" distR="114300" simplePos="0" relativeHeight="251659264" behindDoc="0" locked="0" layoutInCell="1" allowOverlap="1" wp14:anchorId="27B75925" wp14:editId="6237C36C">
            <wp:simplePos x="0" y="0"/>
            <wp:positionH relativeFrom="column">
              <wp:posOffset>822960</wp:posOffset>
            </wp:positionH>
            <wp:positionV relativeFrom="paragraph">
              <wp:posOffset>19050</wp:posOffset>
            </wp:positionV>
            <wp:extent cx="3837940" cy="2360930"/>
            <wp:effectExtent l="19050" t="19050" r="10160" b="203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7940" cy="2360930"/>
                    </a:xfrm>
                    <a:prstGeom prst="rect">
                      <a:avLst/>
                    </a:prstGeom>
                    <a:ln>
                      <a:solidFill>
                        <a:schemeClr val="tx1"/>
                      </a:solidFill>
                    </a:ln>
                  </pic:spPr>
                </pic:pic>
              </a:graphicData>
            </a:graphic>
          </wp:anchor>
        </w:drawing>
      </w:r>
      <w:r w:rsidR="00054B6D" w:rsidRPr="00D477D2">
        <w:rPr>
          <w:rFonts w:ascii="Times New Roman" w:hAnsi="Times New Roman" w:cs="Times New Roman"/>
          <w:sz w:val="24"/>
          <w:szCs w:val="24"/>
        </w:rPr>
        <w:br w:type="textWrapping" w:clear="all"/>
      </w:r>
    </w:p>
    <w:p w14:paraId="3E5DDE57" w14:textId="67E893D5" w:rsidR="00054B6D"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Como se puede observar, si no se tiene en cuenta el tipo de cambio a lo largo del tiempo, se observa una tendencia alcista en el índice, lo cual no coincidiría con la situación en la relación entre la divisa americana y la Argentina.</w:t>
      </w:r>
      <w:r w:rsidR="00A46C11" w:rsidRPr="00D477D2">
        <w:rPr>
          <w:rFonts w:ascii="Times New Roman" w:hAnsi="Times New Roman" w:cs="Times New Roman"/>
          <w:sz w:val="24"/>
          <w:szCs w:val="24"/>
        </w:rPr>
        <w:t xml:space="preserve"> Para esto se realiza un gráfico del tipo de cambio ARS USD:</w:t>
      </w:r>
    </w:p>
    <w:p w14:paraId="607C4B16" w14:textId="29D4AE8B" w:rsidR="00DD7D47" w:rsidRDefault="00DD7D47" w:rsidP="00DD7D47">
      <w:pPr>
        <w:spacing w:line="480" w:lineRule="auto"/>
        <w:jc w:val="center"/>
        <w:rPr>
          <w:rFonts w:ascii="Times New Roman" w:hAnsi="Times New Roman" w:cs="Times New Roman"/>
          <w:sz w:val="24"/>
          <w:szCs w:val="24"/>
        </w:rPr>
      </w:pPr>
      <w:r w:rsidRPr="00DD7D47">
        <w:rPr>
          <w:noProof/>
        </w:rPr>
        <w:drawing>
          <wp:inline distT="0" distB="0" distL="0" distR="0" wp14:anchorId="1722FBCC" wp14:editId="71D23F56">
            <wp:extent cx="4256204" cy="261859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7155" cy="2637637"/>
                    </a:xfrm>
                    <a:prstGeom prst="rect">
                      <a:avLst/>
                    </a:prstGeom>
                  </pic:spPr>
                </pic:pic>
              </a:graphicData>
            </a:graphic>
          </wp:inline>
        </w:drawing>
      </w:r>
    </w:p>
    <w:p w14:paraId="5F38DE57" w14:textId="51C21E9D" w:rsidR="00DD7D47" w:rsidRPr="00D477D2" w:rsidRDefault="00DD7D47" w:rsidP="00DD7D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Donde se observa una </w:t>
      </w:r>
      <w:r w:rsidR="00110832">
        <w:rPr>
          <w:rFonts w:ascii="Times New Roman" w:hAnsi="Times New Roman" w:cs="Times New Roman"/>
          <w:sz w:val="24"/>
          <w:szCs w:val="24"/>
        </w:rPr>
        <w:t>cierta estabilidad hasta el año 2018 y luego una abrupta suba en el tipo de cambio hasta la actualidad. Esto se relaciona con el grafico del Merval en dólares ya que se observó un alza hasta el año 2018 y luego una gran caída.</w:t>
      </w:r>
    </w:p>
    <w:p w14:paraId="3C2199D6" w14:textId="3C01AC53" w:rsidR="00054B6D" w:rsidRPr="00D477D2" w:rsidRDefault="00054B6D" w:rsidP="00D477D2">
      <w:pPr>
        <w:spacing w:line="480" w:lineRule="auto"/>
        <w:jc w:val="center"/>
        <w:rPr>
          <w:rFonts w:ascii="Times New Roman" w:hAnsi="Times New Roman" w:cs="Times New Roman"/>
          <w:sz w:val="28"/>
          <w:szCs w:val="28"/>
        </w:rPr>
      </w:pPr>
      <w:r w:rsidRPr="00D477D2">
        <w:rPr>
          <w:rFonts w:ascii="Times New Roman" w:hAnsi="Times New Roman" w:cs="Times New Roman"/>
          <w:b/>
          <w:bCs/>
          <w:sz w:val="28"/>
          <w:szCs w:val="28"/>
          <w:u w:val="single"/>
        </w:rPr>
        <w:t>SP500</w:t>
      </w:r>
    </w:p>
    <w:p w14:paraId="5036CB1A" w14:textId="77777777" w:rsidR="00054B6D" w:rsidRPr="00D477D2" w:rsidRDefault="00054B6D" w:rsidP="00D477D2">
      <w:pPr>
        <w:spacing w:line="480" w:lineRule="auto"/>
        <w:rPr>
          <w:rFonts w:ascii="Times New Roman" w:hAnsi="Times New Roman" w:cs="Times New Roman"/>
          <w:sz w:val="24"/>
          <w:szCs w:val="24"/>
        </w:rPr>
      </w:pPr>
    </w:p>
    <w:p w14:paraId="711063E2" w14:textId="528BFB92" w:rsidR="00555770" w:rsidRPr="00D477D2" w:rsidRDefault="00555770" w:rsidP="006762E1">
      <w:pPr>
        <w:spacing w:line="480" w:lineRule="auto"/>
        <w:jc w:val="center"/>
        <w:rPr>
          <w:rFonts w:ascii="Times New Roman" w:hAnsi="Times New Roman" w:cs="Times New Roman"/>
          <w:sz w:val="24"/>
          <w:szCs w:val="24"/>
        </w:rPr>
      </w:pPr>
      <w:r w:rsidRPr="00D477D2">
        <w:rPr>
          <w:rFonts w:ascii="Times New Roman" w:hAnsi="Times New Roman" w:cs="Times New Roman"/>
          <w:noProof/>
          <w:sz w:val="24"/>
          <w:szCs w:val="24"/>
        </w:rPr>
        <w:drawing>
          <wp:inline distT="0" distB="0" distL="0" distR="0" wp14:anchorId="4EFAE72F" wp14:editId="7858225B">
            <wp:extent cx="3743325" cy="21812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7414" cy="2230223"/>
                    </a:xfrm>
                    <a:prstGeom prst="rect">
                      <a:avLst/>
                    </a:prstGeom>
                    <a:ln>
                      <a:solidFill>
                        <a:schemeClr val="tx1"/>
                      </a:solidFill>
                    </a:ln>
                  </pic:spPr>
                </pic:pic>
              </a:graphicData>
            </a:graphic>
          </wp:inline>
        </w:drawing>
      </w:r>
    </w:p>
    <w:p w14:paraId="5821FA59" w14:textId="29C42A22" w:rsidR="00054B6D" w:rsidRPr="00D477D2" w:rsidRDefault="00555770"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puede observar una clara tendencia alcista en el índice SP500</w:t>
      </w:r>
      <w:r w:rsidR="00BA6183" w:rsidRPr="00D477D2">
        <w:rPr>
          <w:rFonts w:ascii="Times New Roman" w:hAnsi="Times New Roman" w:cs="Times New Roman"/>
          <w:sz w:val="24"/>
          <w:szCs w:val="24"/>
        </w:rPr>
        <w:t xml:space="preserve"> a lo largo de los años</w:t>
      </w:r>
    </w:p>
    <w:p w14:paraId="4F04A7B5" w14:textId="07371D22" w:rsidR="00BA6183" w:rsidRDefault="00054B6D" w:rsidP="00D477D2">
      <w:pPr>
        <w:spacing w:line="480" w:lineRule="auto"/>
        <w:rPr>
          <w:rFonts w:ascii="Times New Roman" w:hAnsi="Times New Roman" w:cs="Times New Roman"/>
          <w:noProof/>
          <w:sz w:val="24"/>
          <w:szCs w:val="24"/>
        </w:rPr>
      </w:pPr>
      <w:r w:rsidRPr="00D477D2">
        <w:rPr>
          <w:rFonts w:ascii="Times New Roman" w:hAnsi="Times New Roman" w:cs="Times New Roman"/>
          <w:sz w:val="24"/>
          <w:szCs w:val="24"/>
        </w:rPr>
        <w:t xml:space="preserve">El siguiente grafico fue obtenido a través de </w:t>
      </w:r>
      <w:proofErr w:type="spellStart"/>
      <w:r w:rsidR="002005C5" w:rsidRPr="00D477D2">
        <w:rPr>
          <w:rFonts w:ascii="Times New Roman" w:hAnsi="Times New Roman" w:cs="Times New Roman"/>
          <w:b/>
          <w:bCs/>
          <w:sz w:val="24"/>
          <w:szCs w:val="24"/>
        </w:rPr>
        <w:t>graph_density_returns</w:t>
      </w:r>
      <w:proofErr w:type="spellEnd"/>
      <w:r w:rsidR="00D1481D">
        <w:rPr>
          <w:rFonts w:ascii="Times New Roman" w:hAnsi="Times New Roman" w:cs="Times New Roman"/>
          <w:b/>
          <w:bCs/>
          <w:sz w:val="24"/>
          <w:szCs w:val="24"/>
        </w:rPr>
        <w:t>:</w:t>
      </w:r>
    </w:p>
    <w:p w14:paraId="68654CBC" w14:textId="38D4FFED" w:rsidR="00EA2936" w:rsidRPr="00D477D2" w:rsidRDefault="00EA2936" w:rsidP="00EA293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6AF360" wp14:editId="340F7C95">
            <wp:extent cx="5114925" cy="3124200"/>
            <wp:effectExtent l="0" t="0" r="9525" b="0"/>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ribucion normal.jpeg"/>
                    <pic:cNvPicPr/>
                  </pic:nvPicPr>
                  <pic:blipFill>
                    <a:blip r:embed="rId12">
                      <a:extLst>
                        <a:ext uri="{28A0092B-C50C-407E-A947-70E740481C1C}">
                          <a14:useLocalDpi xmlns:a14="http://schemas.microsoft.com/office/drawing/2010/main" val="0"/>
                        </a:ext>
                      </a:extLst>
                    </a:blip>
                    <a:stretch>
                      <a:fillRect/>
                    </a:stretch>
                  </pic:blipFill>
                  <pic:spPr>
                    <a:xfrm>
                      <a:off x="0" y="0"/>
                      <a:ext cx="5114925" cy="3124200"/>
                    </a:xfrm>
                    <a:prstGeom prst="rect">
                      <a:avLst/>
                    </a:prstGeom>
                  </pic:spPr>
                </pic:pic>
              </a:graphicData>
            </a:graphic>
          </wp:inline>
        </w:drawing>
      </w:r>
    </w:p>
    <w:p w14:paraId="29686AFF" w14:textId="281002BB" w:rsidR="00661D07" w:rsidRPr="00D477D2" w:rsidRDefault="00BA6183"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lastRenderedPageBreak/>
        <w:t xml:space="preserve">A través del grafico de densidad, se puede observar </w:t>
      </w:r>
      <w:r w:rsidR="00E6442A" w:rsidRPr="00D477D2">
        <w:rPr>
          <w:rFonts w:ascii="Times New Roman" w:hAnsi="Times New Roman" w:cs="Times New Roman"/>
          <w:sz w:val="24"/>
          <w:szCs w:val="24"/>
        </w:rPr>
        <w:t>cómo</w:t>
      </w:r>
      <w:r w:rsidRPr="00D477D2">
        <w:rPr>
          <w:rFonts w:ascii="Times New Roman" w:hAnsi="Times New Roman" w:cs="Times New Roman"/>
          <w:sz w:val="24"/>
          <w:szCs w:val="24"/>
        </w:rPr>
        <w:t xml:space="preserve"> los retornos del S&amp;P 500 distribuyen normalmente, </w:t>
      </w:r>
      <w:r w:rsidR="00E6442A">
        <w:rPr>
          <w:rFonts w:ascii="Times New Roman" w:hAnsi="Times New Roman" w:cs="Times New Roman"/>
          <w:sz w:val="24"/>
          <w:szCs w:val="24"/>
        </w:rPr>
        <w:t xml:space="preserve">con la forma de una campana de Gauss, </w:t>
      </w:r>
      <w:r w:rsidRPr="00D477D2">
        <w:rPr>
          <w:rFonts w:ascii="Times New Roman" w:hAnsi="Times New Roman" w:cs="Times New Roman"/>
          <w:sz w:val="24"/>
          <w:szCs w:val="24"/>
        </w:rPr>
        <w:t>con tendencia a la media,</w:t>
      </w:r>
      <w:r w:rsidR="0016323C" w:rsidRPr="00D477D2">
        <w:rPr>
          <w:rFonts w:ascii="Times New Roman" w:hAnsi="Times New Roman" w:cs="Times New Roman"/>
          <w:sz w:val="24"/>
          <w:szCs w:val="24"/>
        </w:rPr>
        <w:t xml:space="preserve"> es decir, que los valores se encuentras concentrados cercanos a la media,</w:t>
      </w:r>
      <w:r w:rsidRPr="00D477D2">
        <w:rPr>
          <w:rFonts w:ascii="Times New Roman" w:hAnsi="Times New Roman" w:cs="Times New Roman"/>
          <w:sz w:val="24"/>
          <w:szCs w:val="24"/>
        </w:rPr>
        <w:t xml:space="preserve"> en cambio, el Merval presenta una forma </w:t>
      </w:r>
      <w:r w:rsidR="00E6442A" w:rsidRPr="00D477D2">
        <w:rPr>
          <w:rFonts w:ascii="Times New Roman" w:hAnsi="Times New Roman" w:cs="Times New Roman"/>
          <w:sz w:val="24"/>
          <w:szCs w:val="24"/>
        </w:rPr>
        <w:t>más</w:t>
      </w:r>
      <w:r w:rsidRPr="00D477D2">
        <w:rPr>
          <w:rFonts w:ascii="Times New Roman" w:hAnsi="Times New Roman" w:cs="Times New Roman"/>
          <w:sz w:val="24"/>
          <w:szCs w:val="24"/>
        </w:rPr>
        <w:t xml:space="preserve"> aplanada</w:t>
      </w:r>
      <w:r w:rsidR="00FA29DC" w:rsidRPr="00D477D2">
        <w:rPr>
          <w:rFonts w:ascii="Times New Roman" w:hAnsi="Times New Roman" w:cs="Times New Roman"/>
          <w:sz w:val="24"/>
          <w:szCs w:val="24"/>
        </w:rPr>
        <w:t xml:space="preserve">, lo que implica una volatilidad mayor </w:t>
      </w:r>
      <w:r w:rsidR="0016323C" w:rsidRPr="00D477D2">
        <w:rPr>
          <w:rFonts w:ascii="Times New Roman" w:hAnsi="Times New Roman" w:cs="Times New Roman"/>
          <w:sz w:val="24"/>
          <w:szCs w:val="24"/>
        </w:rPr>
        <w:t>y que los retornos se encuentran más distribuidos a lo largo de la distribución.</w:t>
      </w:r>
      <w:r w:rsidR="00E6442A">
        <w:rPr>
          <w:rFonts w:ascii="Times New Roman" w:hAnsi="Times New Roman" w:cs="Times New Roman"/>
          <w:sz w:val="24"/>
          <w:szCs w:val="24"/>
        </w:rPr>
        <w:t xml:space="preserve"> Por otro lado, el índice de </w:t>
      </w:r>
      <w:proofErr w:type="spellStart"/>
      <w:r w:rsidR="00E6442A">
        <w:rPr>
          <w:rFonts w:ascii="Times New Roman" w:hAnsi="Times New Roman" w:cs="Times New Roman"/>
          <w:sz w:val="24"/>
          <w:szCs w:val="24"/>
        </w:rPr>
        <w:t>Nikkei</w:t>
      </w:r>
      <w:proofErr w:type="spellEnd"/>
      <w:r w:rsidR="00E6442A">
        <w:rPr>
          <w:rFonts w:ascii="Times New Roman" w:hAnsi="Times New Roman" w:cs="Times New Roman"/>
          <w:sz w:val="24"/>
          <w:szCs w:val="24"/>
        </w:rPr>
        <w:t xml:space="preserve"> presenta una forma de campana, pero con colas más pesadas, debido a que se encuentra más dispersa y presenta una desviación estándar mayor que el SP500 cuya forma es más alta, puntiaguda y estrecha.</w:t>
      </w:r>
    </w:p>
    <w:p w14:paraId="25DD76D4" w14:textId="77777777" w:rsidR="00661D07" w:rsidRPr="00D477D2" w:rsidRDefault="00661D07" w:rsidP="00D477D2">
      <w:pPr>
        <w:pStyle w:val="Ttulo1"/>
        <w:spacing w:line="480" w:lineRule="auto"/>
        <w:rPr>
          <w:rFonts w:ascii="Times New Roman" w:hAnsi="Times New Roman" w:cs="Times New Roman"/>
          <w:sz w:val="28"/>
          <w:szCs w:val="28"/>
          <w:u w:val="single"/>
        </w:rPr>
      </w:pPr>
      <w:r w:rsidRPr="00D477D2">
        <w:rPr>
          <w:rFonts w:ascii="Times New Roman" w:hAnsi="Times New Roman" w:cs="Times New Roman"/>
          <w:sz w:val="28"/>
          <w:szCs w:val="28"/>
          <w:u w:val="single"/>
        </w:rPr>
        <w:t>Conclusiones</w:t>
      </w:r>
    </w:p>
    <w:p w14:paraId="5F7ECD29" w14:textId="16FBE67A" w:rsidR="00661D07" w:rsidRPr="00D477D2" w:rsidRDefault="002005C5"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recomienda invertir en el índice SP500 debido a las características más constantes y preferibles que presenta. En cambio, el índice Merval presenta una forma más inestable a lo largo del tiempo, esto también coincide con la situación económica que atraviesa Argentina a lo largo del tiempo, que es contraria a la situación económica estadounidense.</w:t>
      </w:r>
    </w:p>
    <w:p w14:paraId="5093B779" w14:textId="0A6D1CF0" w:rsidR="00661D07" w:rsidRPr="006762E1" w:rsidRDefault="00661D07" w:rsidP="006762E1">
      <w:pPr>
        <w:pStyle w:val="Ttulo1"/>
        <w:spacing w:line="480" w:lineRule="auto"/>
        <w:rPr>
          <w:rFonts w:ascii="Times New Roman" w:hAnsi="Times New Roman" w:cs="Times New Roman"/>
          <w:sz w:val="28"/>
          <w:szCs w:val="28"/>
          <w:u w:val="single"/>
        </w:rPr>
      </w:pPr>
      <w:r w:rsidRPr="00D477D2">
        <w:rPr>
          <w:rFonts w:ascii="Times New Roman" w:hAnsi="Times New Roman" w:cs="Times New Roman"/>
          <w:sz w:val="28"/>
          <w:szCs w:val="28"/>
          <w:u w:val="single"/>
        </w:rPr>
        <w:t xml:space="preserve">Futuras Investigaciones y Limitaciones </w:t>
      </w:r>
    </w:p>
    <w:p w14:paraId="467D97C1" w14:textId="659118B1" w:rsidR="00661D07" w:rsidRPr="00D477D2" w:rsidRDefault="00AA7D56"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Debido a las características </w:t>
      </w:r>
      <w:r w:rsidR="002005C5" w:rsidRPr="00D477D2">
        <w:rPr>
          <w:rFonts w:ascii="Times New Roman" w:hAnsi="Times New Roman" w:cs="Times New Roman"/>
          <w:sz w:val="24"/>
          <w:szCs w:val="24"/>
        </w:rPr>
        <w:t xml:space="preserve">y formas de las variables obtenidas de los datos de los índices, se tuvieron que crear funciones para poder manipularlos, como por ejemplo la </w:t>
      </w:r>
      <w:proofErr w:type="spellStart"/>
      <w:r w:rsidR="002005C5" w:rsidRPr="00D477D2">
        <w:rPr>
          <w:rFonts w:ascii="Times New Roman" w:hAnsi="Times New Roman" w:cs="Times New Roman"/>
          <w:sz w:val="24"/>
          <w:szCs w:val="24"/>
        </w:rPr>
        <w:t>funcion</w:t>
      </w:r>
      <w:proofErr w:type="spellEnd"/>
      <w:r w:rsidR="002005C5" w:rsidRPr="00D477D2">
        <w:rPr>
          <w:rFonts w:ascii="Times New Roman" w:hAnsi="Times New Roman" w:cs="Times New Roman"/>
          <w:sz w:val="24"/>
          <w:szCs w:val="24"/>
        </w:rPr>
        <w:t xml:space="preserve"> </w:t>
      </w:r>
      <w:proofErr w:type="spellStart"/>
      <w:r w:rsidR="002005C5" w:rsidRPr="00D477D2">
        <w:rPr>
          <w:rFonts w:ascii="Times New Roman" w:hAnsi="Times New Roman" w:cs="Times New Roman"/>
          <w:sz w:val="24"/>
          <w:szCs w:val="24"/>
        </w:rPr>
        <w:t>graficar_precios</w:t>
      </w:r>
      <w:proofErr w:type="spellEnd"/>
      <w:r w:rsidR="002005C5" w:rsidRPr="00D477D2">
        <w:rPr>
          <w:rFonts w:ascii="Times New Roman" w:hAnsi="Times New Roman" w:cs="Times New Roman"/>
          <w:sz w:val="24"/>
          <w:szCs w:val="24"/>
        </w:rPr>
        <w:t>, dado que una de las columnas es del tipo “Date”.</w:t>
      </w:r>
    </w:p>
    <w:p w14:paraId="5B338ED1" w14:textId="77777777" w:rsidR="00661D07" w:rsidRPr="00D477D2" w:rsidRDefault="00661D07" w:rsidP="00D477D2">
      <w:pPr>
        <w:pStyle w:val="Ttulo1"/>
        <w:spacing w:line="480" w:lineRule="auto"/>
        <w:rPr>
          <w:rFonts w:ascii="Times New Roman" w:hAnsi="Times New Roman" w:cs="Times New Roman"/>
          <w:sz w:val="28"/>
          <w:szCs w:val="28"/>
          <w:u w:val="single"/>
        </w:rPr>
      </w:pPr>
      <w:r w:rsidRPr="00D477D2">
        <w:rPr>
          <w:rFonts w:ascii="Times New Roman" w:hAnsi="Times New Roman" w:cs="Times New Roman"/>
          <w:sz w:val="28"/>
          <w:szCs w:val="28"/>
          <w:u w:val="single"/>
        </w:rPr>
        <w:t>Bibliografía</w:t>
      </w:r>
    </w:p>
    <w:p w14:paraId="309BC56A" w14:textId="6A9C823E" w:rsidR="002005C5"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t>https://www.spindices.com/documents/additional-material/sp-merval-index-ars-constituent-data.pdf</w:t>
      </w:r>
    </w:p>
    <w:p w14:paraId="62F14002" w14:textId="41A16CC2" w:rsidR="002005C5"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t>https://synergy.vision/corpus/inversion/2017-08-21-quantmod.html</w:t>
      </w:r>
    </w:p>
    <w:p w14:paraId="5C317806" w14:textId="47981E3A" w:rsidR="002005C5"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lastRenderedPageBreak/>
        <w:t>https://cran.r-project.org/web/packages/tidyquant/vignettes/TQ01-core-functions-in-tidyquant.html</w:t>
      </w:r>
    </w:p>
    <w:p w14:paraId="63FAE19C" w14:textId="31CC60E0" w:rsidR="00661D07"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t>https://rpubs.com/DanielSLee/IntroPortfolioAnalysis</w:t>
      </w:r>
    </w:p>
    <w:p w14:paraId="2AADF6EA" w14:textId="77777777" w:rsidR="00661D07" w:rsidRPr="00D477D2" w:rsidRDefault="00661D07" w:rsidP="00D477D2">
      <w:pPr>
        <w:spacing w:line="480" w:lineRule="auto"/>
        <w:rPr>
          <w:rFonts w:ascii="Times New Roman" w:hAnsi="Times New Roman" w:cs="Times New Roman"/>
          <w:sz w:val="24"/>
          <w:szCs w:val="24"/>
        </w:rPr>
      </w:pPr>
    </w:p>
    <w:p w14:paraId="6EE62F4B" w14:textId="77777777" w:rsidR="00661D07" w:rsidRPr="00D477D2" w:rsidRDefault="00661D07" w:rsidP="00D477D2">
      <w:pPr>
        <w:spacing w:line="480" w:lineRule="auto"/>
        <w:rPr>
          <w:rFonts w:ascii="Times New Roman" w:hAnsi="Times New Roman" w:cs="Times New Roman"/>
          <w:sz w:val="24"/>
          <w:szCs w:val="24"/>
        </w:rPr>
      </w:pPr>
    </w:p>
    <w:p w14:paraId="0FB14A9B" w14:textId="77777777" w:rsidR="00661D07" w:rsidRPr="00D477D2" w:rsidRDefault="00661D07" w:rsidP="00D477D2">
      <w:pPr>
        <w:spacing w:line="480" w:lineRule="auto"/>
        <w:rPr>
          <w:rFonts w:ascii="Times New Roman" w:hAnsi="Times New Roman" w:cs="Times New Roman"/>
          <w:sz w:val="24"/>
          <w:szCs w:val="24"/>
        </w:rPr>
      </w:pPr>
    </w:p>
    <w:p w14:paraId="1F87E79D" w14:textId="77777777" w:rsidR="00661D07" w:rsidRPr="00D477D2" w:rsidRDefault="00661D07" w:rsidP="00D477D2">
      <w:pPr>
        <w:pStyle w:val="Ttulo1"/>
        <w:spacing w:before="0"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 xml:space="preserve">Anexo (Códigos en </w:t>
      </w:r>
      <w:proofErr w:type="spellStart"/>
      <w:r w:rsidRPr="00D477D2">
        <w:rPr>
          <w:rFonts w:ascii="Times New Roman" w:hAnsi="Times New Roman" w:cs="Times New Roman"/>
          <w:sz w:val="24"/>
          <w:szCs w:val="24"/>
          <w:u w:val="single"/>
        </w:rPr>
        <w:t>RStudio</w:t>
      </w:r>
      <w:proofErr w:type="spellEnd"/>
      <w:r w:rsidRPr="00D477D2">
        <w:rPr>
          <w:rFonts w:ascii="Times New Roman" w:hAnsi="Times New Roman" w:cs="Times New Roman"/>
          <w:sz w:val="24"/>
          <w:szCs w:val="24"/>
          <w:u w:val="single"/>
        </w:rPr>
        <w:t>)</w:t>
      </w:r>
    </w:p>
    <w:p w14:paraId="3BCD3A91" w14:textId="605DFD36" w:rsidR="00661D07" w:rsidRPr="00D477D2" w:rsidRDefault="00661D07" w:rsidP="00D477D2">
      <w:pPr>
        <w:spacing w:line="480" w:lineRule="auto"/>
        <w:ind w:left="284"/>
        <w:rPr>
          <w:rFonts w:ascii="Times New Roman" w:hAnsi="Times New Roman" w:cs="Times New Roman"/>
          <w:sz w:val="24"/>
          <w:szCs w:val="24"/>
        </w:rPr>
      </w:pPr>
    </w:p>
    <w:sectPr w:rsidR="00661D07" w:rsidRPr="00D477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93CBA"/>
    <w:multiLevelType w:val="hybridMultilevel"/>
    <w:tmpl w:val="D1A400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40820E6"/>
    <w:multiLevelType w:val="hybridMultilevel"/>
    <w:tmpl w:val="940E6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480261D"/>
    <w:multiLevelType w:val="hybridMultilevel"/>
    <w:tmpl w:val="B69AD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826CDD"/>
    <w:multiLevelType w:val="hybridMultilevel"/>
    <w:tmpl w:val="4900D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8D57C72"/>
    <w:multiLevelType w:val="hybridMultilevel"/>
    <w:tmpl w:val="E58E27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5D"/>
    <w:rsid w:val="000009E4"/>
    <w:rsid w:val="00054B6D"/>
    <w:rsid w:val="00063F94"/>
    <w:rsid w:val="00110832"/>
    <w:rsid w:val="00153588"/>
    <w:rsid w:val="00160E61"/>
    <w:rsid w:val="0016323C"/>
    <w:rsid w:val="001642A9"/>
    <w:rsid w:val="002005C5"/>
    <w:rsid w:val="00432F42"/>
    <w:rsid w:val="0047755F"/>
    <w:rsid w:val="00534BEB"/>
    <w:rsid w:val="00555770"/>
    <w:rsid w:val="00656A5D"/>
    <w:rsid w:val="00661D07"/>
    <w:rsid w:val="006762E1"/>
    <w:rsid w:val="00784115"/>
    <w:rsid w:val="00A24A77"/>
    <w:rsid w:val="00A373EE"/>
    <w:rsid w:val="00A46C11"/>
    <w:rsid w:val="00AA7D56"/>
    <w:rsid w:val="00BA6183"/>
    <w:rsid w:val="00BF325E"/>
    <w:rsid w:val="00C74135"/>
    <w:rsid w:val="00D1481D"/>
    <w:rsid w:val="00D477D2"/>
    <w:rsid w:val="00D532C5"/>
    <w:rsid w:val="00DD7D47"/>
    <w:rsid w:val="00E6442A"/>
    <w:rsid w:val="00EA2936"/>
    <w:rsid w:val="00EE0585"/>
    <w:rsid w:val="00FA2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0A55"/>
  <w15:chartTrackingRefBased/>
  <w15:docId w15:val="{BB6D19CD-BCF7-4E8E-B6C7-7184DB70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5D"/>
    <w:pPr>
      <w:spacing w:line="256" w:lineRule="auto"/>
    </w:pPr>
  </w:style>
  <w:style w:type="paragraph" w:styleId="Ttulo1">
    <w:name w:val="heading 1"/>
    <w:basedOn w:val="Normal"/>
    <w:next w:val="Normal"/>
    <w:link w:val="Ttulo1Car"/>
    <w:uiPriority w:val="9"/>
    <w:qFormat/>
    <w:rsid w:val="00656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A5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656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A5D"/>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661D07"/>
    <w:rPr>
      <w:i/>
      <w:iCs/>
      <w:color w:val="404040" w:themeColor="text1" w:themeTint="BF"/>
    </w:rPr>
  </w:style>
  <w:style w:type="paragraph" w:styleId="Prrafodelista">
    <w:name w:val="List Paragraph"/>
    <w:basedOn w:val="Normal"/>
    <w:uiPriority w:val="34"/>
    <w:qFormat/>
    <w:rsid w:val="0016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89276">
      <w:bodyDiv w:val="1"/>
      <w:marLeft w:val="0"/>
      <w:marRight w:val="0"/>
      <w:marTop w:val="0"/>
      <w:marBottom w:val="0"/>
      <w:divBdr>
        <w:top w:val="none" w:sz="0" w:space="0" w:color="auto"/>
        <w:left w:val="none" w:sz="0" w:space="0" w:color="auto"/>
        <w:bottom w:val="none" w:sz="0" w:space="0" w:color="auto"/>
        <w:right w:val="none" w:sz="0" w:space="0" w:color="auto"/>
      </w:divBdr>
    </w:div>
    <w:div w:id="211622125">
      <w:bodyDiv w:val="1"/>
      <w:marLeft w:val="0"/>
      <w:marRight w:val="0"/>
      <w:marTop w:val="0"/>
      <w:marBottom w:val="0"/>
      <w:divBdr>
        <w:top w:val="none" w:sz="0" w:space="0" w:color="auto"/>
        <w:left w:val="none" w:sz="0" w:space="0" w:color="auto"/>
        <w:bottom w:val="none" w:sz="0" w:space="0" w:color="auto"/>
        <w:right w:val="none" w:sz="0" w:space="0" w:color="auto"/>
      </w:divBdr>
    </w:div>
    <w:div w:id="608706934">
      <w:bodyDiv w:val="1"/>
      <w:marLeft w:val="0"/>
      <w:marRight w:val="0"/>
      <w:marTop w:val="0"/>
      <w:marBottom w:val="0"/>
      <w:divBdr>
        <w:top w:val="none" w:sz="0" w:space="0" w:color="auto"/>
        <w:left w:val="none" w:sz="0" w:space="0" w:color="auto"/>
        <w:bottom w:val="none" w:sz="0" w:space="0" w:color="auto"/>
        <w:right w:val="none" w:sz="0" w:space="0" w:color="auto"/>
      </w:divBdr>
    </w:div>
    <w:div w:id="859782211">
      <w:bodyDiv w:val="1"/>
      <w:marLeft w:val="0"/>
      <w:marRight w:val="0"/>
      <w:marTop w:val="0"/>
      <w:marBottom w:val="0"/>
      <w:divBdr>
        <w:top w:val="none" w:sz="0" w:space="0" w:color="auto"/>
        <w:left w:val="none" w:sz="0" w:space="0" w:color="auto"/>
        <w:bottom w:val="none" w:sz="0" w:space="0" w:color="auto"/>
        <w:right w:val="none" w:sz="0" w:space="0" w:color="auto"/>
      </w:divBdr>
    </w:div>
    <w:div w:id="878590859">
      <w:bodyDiv w:val="1"/>
      <w:marLeft w:val="0"/>
      <w:marRight w:val="0"/>
      <w:marTop w:val="0"/>
      <w:marBottom w:val="0"/>
      <w:divBdr>
        <w:top w:val="none" w:sz="0" w:space="0" w:color="auto"/>
        <w:left w:val="none" w:sz="0" w:space="0" w:color="auto"/>
        <w:bottom w:val="none" w:sz="0" w:space="0" w:color="auto"/>
        <w:right w:val="none" w:sz="0" w:space="0" w:color="auto"/>
      </w:divBdr>
    </w:div>
    <w:div w:id="999693655">
      <w:bodyDiv w:val="1"/>
      <w:marLeft w:val="0"/>
      <w:marRight w:val="0"/>
      <w:marTop w:val="0"/>
      <w:marBottom w:val="0"/>
      <w:divBdr>
        <w:top w:val="none" w:sz="0" w:space="0" w:color="auto"/>
        <w:left w:val="none" w:sz="0" w:space="0" w:color="auto"/>
        <w:bottom w:val="none" w:sz="0" w:space="0" w:color="auto"/>
        <w:right w:val="none" w:sz="0" w:space="0" w:color="auto"/>
      </w:divBdr>
    </w:div>
    <w:div w:id="1013150754">
      <w:bodyDiv w:val="1"/>
      <w:marLeft w:val="0"/>
      <w:marRight w:val="0"/>
      <w:marTop w:val="0"/>
      <w:marBottom w:val="0"/>
      <w:divBdr>
        <w:top w:val="none" w:sz="0" w:space="0" w:color="auto"/>
        <w:left w:val="none" w:sz="0" w:space="0" w:color="auto"/>
        <w:bottom w:val="none" w:sz="0" w:space="0" w:color="auto"/>
        <w:right w:val="none" w:sz="0" w:space="0" w:color="auto"/>
      </w:divBdr>
    </w:div>
    <w:div w:id="1322543074">
      <w:bodyDiv w:val="1"/>
      <w:marLeft w:val="0"/>
      <w:marRight w:val="0"/>
      <w:marTop w:val="0"/>
      <w:marBottom w:val="0"/>
      <w:divBdr>
        <w:top w:val="none" w:sz="0" w:space="0" w:color="auto"/>
        <w:left w:val="none" w:sz="0" w:space="0" w:color="auto"/>
        <w:bottom w:val="none" w:sz="0" w:space="0" w:color="auto"/>
        <w:right w:val="none" w:sz="0" w:space="0" w:color="auto"/>
      </w:divBdr>
    </w:div>
    <w:div w:id="1544630243">
      <w:bodyDiv w:val="1"/>
      <w:marLeft w:val="0"/>
      <w:marRight w:val="0"/>
      <w:marTop w:val="0"/>
      <w:marBottom w:val="0"/>
      <w:divBdr>
        <w:top w:val="none" w:sz="0" w:space="0" w:color="auto"/>
        <w:left w:val="none" w:sz="0" w:space="0" w:color="auto"/>
        <w:bottom w:val="none" w:sz="0" w:space="0" w:color="auto"/>
        <w:right w:val="none" w:sz="0" w:space="0" w:color="auto"/>
      </w:divBdr>
    </w:div>
    <w:div w:id="1661543378">
      <w:bodyDiv w:val="1"/>
      <w:marLeft w:val="0"/>
      <w:marRight w:val="0"/>
      <w:marTop w:val="0"/>
      <w:marBottom w:val="0"/>
      <w:divBdr>
        <w:top w:val="none" w:sz="0" w:space="0" w:color="auto"/>
        <w:left w:val="none" w:sz="0" w:space="0" w:color="auto"/>
        <w:bottom w:val="none" w:sz="0" w:space="0" w:color="auto"/>
        <w:right w:val="none" w:sz="0" w:space="0" w:color="auto"/>
      </w:divBdr>
    </w:div>
    <w:div w:id="1674912046">
      <w:bodyDiv w:val="1"/>
      <w:marLeft w:val="0"/>
      <w:marRight w:val="0"/>
      <w:marTop w:val="0"/>
      <w:marBottom w:val="0"/>
      <w:divBdr>
        <w:top w:val="none" w:sz="0" w:space="0" w:color="auto"/>
        <w:left w:val="none" w:sz="0" w:space="0" w:color="auto"/>
        <w:bottom w:val="none" w:sz="0" w:space="0" w:color="auto"/>
        <w:right w:val="none" w:sz="0" w:space="0" w:color="auto"/>
      </w:divBdr>
    </w:div>
    <w:div w:id="208406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999</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WEYNER IVAN</dc:creator>
  <cp:keywords/>
  <dc:description/>
  <cp:lastModifiedBy>WEYNER IVAN</cp:lastModifiedBy>
  <cp:revision>22</cp:revision>
  <dcterms:created xsi:type="dcterms:W3CDTF">2019-11-28T13:04:00Z</dcterms:created>
  <dcterms:modified xsi:type="dcterms:W3CDTF">2019-12-08T00:18:00Z</dcterms:modified>
</cp:coreProperties>
</file>