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56"/>
          <w:szCs w:val="56"/>
        </w:rP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 w:val="false"/>
          <w:bCs w:val="false"/>
          <w:color w:val="2C2C2A"/>
          <w:sz w:val="52"/>
          <w:szCs w:val="52"/>
        </w:rPr>
        <w:t xml:space="preserve">GUTLEBER &amp; ASOC.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BRIEF DE IDENTIDAD VISUAL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Para diseñador / estudio de branding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Posadas, Misiones · Mayo 2026</w:t>
      </w:r>
    </w:p>
    <w:p>
      <w:pPr>
        <w:spacing w:after="0" w:before="0"/>
      </w:pPr>
      <w:r>
        <w:rPr>
          <w:sz w:val="84"/>
          <w:szCs w:val="84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1. La empresa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Gutleber &amp; Asoc. es una firma inmobiliaria boutique con base en Posadas, Misiones. Está fundada por Cintia Gutleber —corredora matriculada con trayectoria en el rubro— y su socio, quien aporta visión tecnológica, contactos y apertura comercial.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es una inmobiliaria tradicional. Es una firma moderna orientada a propietarios, inversores, terrenos y patrimonio inmobiliario. El modelo de negocio se construye sobre relaciones de largo plazo, no sobre volumen de operaciones.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2. Posicionamiento y valores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LA FIRMA 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Boutique · moderna · profesional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Orientada a patrimonio e inversión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Tecnológica con atención humana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Discreta · clara · confiable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Con arraigo local en Posadas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LA FIRMA NO 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Inmobiliaria tradicional o familiar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Vendedor agresivo o de alto volumen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Lujo exagerado o estética recargada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Empresa fría o impersonal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Operación improvisada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diferencial central es la información en tiempo real. El propietario siempre sabe qué pasa con su propiedad. Eso se demuestra desde el primer contacto visual con la marca.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3. Concepto visual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paleta, la tipografía y el emblema deben transmitir una sola sensación: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b w:val="false"/>
          <w:bCs w:val="false"/>
          <w:color w:val="8C7B6B"/>
          <w:sz w:val="26"/>
          <w:szCs w:val="26"/>
        </w:rPr>
        <w:t xml:space="preserve">Claridad · Tranquilidad · Confianza · Modernidad sobria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estilo visual toma referencias de arquitectura, madera natural, piedra clara y espacios minimalistas. Cero dorado exagerado, cero azul corporativo, cero estética inmobiliaria clásica.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4. Paleta de colores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paleta es de cuatro colores. Todos con base en tierra, piedra y crema. Se usa así: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4460"/>
      </w:tblGrid>
      <w:tr>
        <w:tc>
          <w:tcPr>
            <w:tcW w:type="dxa" w:w="9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DCF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HEX</w:t>
            </w:r>
          </w:p>
        </w:tc>
        <w:tc>
          <w:tcPr>
            <w:tcW w:type="dxa" w:w="44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9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2C2C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Carbón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#2C2C2A</w:t>
            </w:r>
          </w:p>
        </w:tc>
        <w:tc>
          <w:tcPr>
            <w:tcW w:type="dxa" w:w="42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Textos principales · logo · marcos</w:t>
            </w:r>
          </w:p>
        </w:tc>
      </w:tr>
      <w:tr>
        <w:tc>
          <w:tcPr>
            <w:tcW w:type="dxa" w:w="9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Piedra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#8C7B6B</w:t>
            </w:r>
          </w:p>
        </w:tc>
        <w:tc>
          <w:tcPr>
            <w:tcW w:type="dxa" w:w="42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Color principal de marca · íconos · detalles</w:t>
            </w:r>
          </w:p>
        </w:tc>
      </w:tr>
      <w:tr>
        <w:tc>
          <w:tcPr>
            <w:tcW w:type="dxa" w:w="9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C4B09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Arena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#C4B09A</w:t>
            </w:r>
          </w:p>
        </w:tc>
        <w:tc>
          <w:tcPr>
            <w:tcW w:type="dxa" w:w="42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Color secundario · subtítulos · señal</w:t>
            </w:r>
          </w:p>
        </w:tc>
      </w:tr>
      <w:tr>
        <w:tc>
          <w:tcPr>
            <w:tcW w:type="dxa" w:w="9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8D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Crema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#F0E8DC</w:t>
            </w:r>
          </w:p>
        </w:tc>
        <w:tc>
          <w:tcPr>
            <w:tcW w:type="dxa" w:w="42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Fondos cálidos · secciones · tarjetas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Nota para el diseñador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blanco puro (#FFFFFF) puede usarse como fondo neutro cuando sea necesario.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carbón (#2C2C2A) reemplaza al negro puro en todos los usos. Más cálido, más coherente con la paleta.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agregar colores adicionales en esta etapa. La paleta debe mantenerse cerrada.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5. Tipografía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DISPLAY — MARCA Y TITULARES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color w:val="2C2C2A"/>
                <w:sz w:val="32"/>
                <w:szCs w:val="32"/>
              </w:rPr>
              <w:t xml:space="preserve">Georgia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Para el wordmark, titulares formales y momentos patrimoniales. Clásica, legible, disponible en todas las plataformas sin costo.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Uso: nombre de la firma, titulares de documentos, descriptor.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CUERPO — DIGITAL Y COMUNICACIÓN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A"/>
                <w:sz w:val="32"/>
                <w:szCs w:val="32"/>
              </w:rPr>
              <w:t xml:space="preserve">Arial / Inter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Para textos de cuerpo, descripciones, posts de redes, material digital. Limpia y moderna.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Uso: textos corridos, redes sociales, presentaciones, PDF.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6. El emblema — descripción técnica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emblema es el elemento central de la identidad visual. Está compuesto por tres elementos dentro de un círculo contenedor. Se debe vectorizar en Illustrator o equivalente.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6.1 El círculo contenedor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Círculo de trazo fino. No relleno. Color Piedra (#8C7B6B). El grosor del trazo debe ser consistente con el grosor de los elementos internos. El círculo unifica los tres elementos internos y permite que el emblema funcione como sello, avatar e ícono.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6.2 Lector de puerta electrónica con manija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Posicionado en el sector izquierdo del círculo. Compuesto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Una placa rectangular vertical con esquinas redondeadas. Trazo fino, sin relleno, color Piedra.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punto LED circular sólido en la parte superior de la placa. Color Piedra. Representa el estado de acceso.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Dos líneas horizontales cortas debajo del LED. Primera línea más larga, segunda más corta y con opacidad reducida. Color Arena. Representan la zona táctil o teclado numérico del lector.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Una manija que desprende de la placa hacia la derecha. Forma de C o U abierta hacia la izquierda, con esquinas redondeadas. Trazo fino, sin relleno, color Piedra. La manija debe leer claramente como manija de puerta, no como candado.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Intención del símbolo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Este elemento representa apertura y acceso digital, no seguridad ni restricción.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lector dice: la puerta de tu propiedad tiene tecnología. La manija dice: seguís siendo vos quien la abre.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debe confundirse con un candado. El detalle clave es la manija desprendida.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6.3 Señal de comunicación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Posicionada en el sector central del círculo, entre el lector y el pin. Compuesta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Dos arcos concéntricos abiertos hacia arriba, simil símbolo de wifi o señal. Orientados horizontalmente entre los dos elementos.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punto sólido pequeño debajo de los arcos. Color Arena para ambos arcos y el punto.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arco exterior con opacidad reducida (40-50%). El arco interior más definido.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Intención del símbolo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Representa información en tiempo real y conexión permanente entre la propiedad y el propietario.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 el diferencial central de la marca: el propietario siempre sabe qué pasa.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Visualmente actúa como conector entre el lector y el pin, dando dinamismo al emblema.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6.4 Pin de posición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Posicionado en el sector derecho del círculo. Forma clásica de pin de mapa (Google Maps / Apple Maps). Compuesto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Cuerpo ovoide / gota, más ancho en la parte superior, terminando en punta hacia abajo. Trazo fino, sin relleno, color Piedra.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Una línea vertical corta que continúa la punta hacia abajo, a modo de extensión de posición precisa. Trazo del mismo grosor.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Sin texto ni símbolo en el interior del pin. El interior queda vacío.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Intención del símbolo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Representa el arraigo local: Posadas, Misiones. Esta firma existe en un lugar concreto.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pin vacío es intencional. El &amp; ya aparece en el wordmark. El emblema no lo necesita.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forma debe ser reconocible como pin de mapa de forma inmediata.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7. Versiones del logo requeridas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necesitan las siguientes versiones en formato vectorial (AI / SVG) y exportadas en PNG con fondo transparente: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COMPOSICIÓN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Logo horizontal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Emblema + wordmark en línea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Presentaciones, documentos, PDF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Logo vertical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Emblema arriba + wordmark abajo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Tarjetas, carteles, señalética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Solo emblema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Círculo con los tres elementos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Avatar Instagram, ícono app, sello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Versión clara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Paleta sobre fondo blanco/crema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Documentos, presentaciones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Versión oscura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Paleta arena/crema sobre #2C2C2A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Redes sociales, stories, fondos oscuros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Versión monocroma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 solo color (carbón o blanco)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Bordados, sellos, usos especiales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8. El wordmark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nombre de la firma se escribe siempre como: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80" w:before="160"/>
        <w:jc w:val="center"/>
      </w:pPr>
      <w:r>
        <w:rPr>
          <w:rFonts w:ascii="Georgia" w:cs="Georgia" w:eastAsia="Georgia" w:hAnsi="Georgia"/>
          <w:color w:val="2C2C2A"/>
          <w:sz w:val="32"/>
          <w:szCs w:val="32"/>
        </w:rPr>
        <w:t xml:space="preserve">GUTLEBER &amp; ASOC.</w:t>
      </w:r>
    </w:p>
    <w:p>
      <w:pPr>
        <w:spacing w:after="160" w:before="0"/>
        <w:jc w:val="center"/>
      </w:pPr>
      <w:r>
        <w:rPr>
          <w:rFonts w:ascii="Georgia" w:cs="Georgia" w:eastAsia="Georgia" w:hAnsi="Georgia"/>
          <w:i/>
          <w:iCs/>
          <w:color w:val="8C7B6B"/>
          <w:sz w:val="20"/>
          <w:szCs w:val="20"/>
        </w:rPr>
        <w:t xml:space="preserve">gestión · inversión · patrimonio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Siempre en mayúsculas para el nombre principal.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Tipografía Georgia. Tracking amplio (letter-spacing generoso).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descriptor debajo en minúsculas, Georgia, color Arena, tamaño menor.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&amp; del nombre no se elimina ni reemplaza. Es parte del nombre legal y de la identidad.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9. Aplicaciones inmediatas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Las primeras aplicaciones que se necesitan para salir al mercado son: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DIGITALES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Avatar de Instagram (1:1, fondo oscuro)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Portada de Instagram (4:5)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Firma de WhatsApp (banner horizontal)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Firma de correo electrónico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Portada de Google Business Profile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IMPRESOS / FÍSICOS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Tarjeta personal (90 x 55 mm)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Hoja membretada A4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Cartel de propiedad (a definir tamaño)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Presentación PDF para propietarios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10. Referencias de estilo y tono visual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diseñador puede tomar referencias de: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Estudios de arquitectura boutique minimalistas (no inmobiliarias clásicas).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Firmas de wealth management o gestión patrimonial europeas.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Marcas de hospitalidad premium de bajo perfil (no cadenas, no lujo ostentoso).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5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Lo que se evita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Azul corporativo de banco o inmobiliaria tradicional.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Dorado exagerado o brillante.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Fotografías de edificios de lujo o torres de vidrio.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Fuentes sans-serif tecnológicas ultra modernas (Helvetica Neue Bold, etc.).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Estética de startup o fintech.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Exceso de blanco clínico sin temperatura.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8C7B6B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11. Contacto y próximos pasos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Cualquier duda sobre el brief, el concepto o las versiones, comunicarse con: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Cintia Gutleber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Gutleber &amp; Asoc. · Posadas, Misiones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 entregará feedback en un plazo máximo de 48 horas sobre cada propuesta recibida.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Bdr>
          <w:top w:val="single" w:color="E0D8D0" w:sz="2" w:space="12"/>
        </w:pBdr>
        <w:spacing w:after="0" w:before="240"/>
        <w:jc w:val="center"/>
      </w:pPr>
      <w:r>
        <w:rPr>
          <w:rFonts w:ascii="Arial" w:cs="Arial" w:eastAsia="Arial" w:hAnsi="Arial"/>
          <w:color w:val="C4B09A"/>
          <w:sz w:val="16"/>
          <w:szCs w:val="16"/>
        </w:rPr>
        <w:t xml:space="preserve">GUTLEBER &amp; ASOC. · BRIEF DE IDENTIDAD VISUAL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2026-05-08T19:02:12.815Z</dcterms:created>
  <dcterms:modified xsi:type="dcterms:W3CDTF">2026-05-08T19:02:12.815Z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