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2C2C2A"/>
                <w:sz w:val="36"/>
                <w:szCs w:val="36"/>
              </w:rPr>
              <w:t xml:space="preserve">GUTLEBER &amp; ASOC.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B09A"/>
                <w:sz w:val="16"/>
                <w:szCs w:val="16"/>
              </w:rPr>
              <w:t xml:space="preserve">GESTIÓN  ·  INVERSIÓN  ·  PATRIMONIO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Cintia Gutleber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Corredora Inmobiliaria Matriculada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Posadas, Misiones</w:t>
            </w:r>
          </w:p>
        </w:tc>
      </w:tr>
    </w:tbl>
    <w:p>
      <w:pPr>
        <w:pBdr>
          <w:bottom w:val="single" w:color="8C7B6B" w:sz="6" w:space="1"/>
        </w:pBdr>
        <w:spacing w:after="240" w:before="1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C7B6B"/>
          <w:sz w:val="26"/>
          <w:szCs w:val="26"/>
        </w:rPr>
        <w:t xml:space="preserve">PROPUESTA DE ADMINISTRACIÓN INMOBILIARIA</w:t>
      </w:r>
    </w:p>
    <w:p>
      <w:pPr>
        <w:spacing w:after="60" w:before="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Preparada especialmente para: [NOMBRE DEL PROPIETARIO]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Propiedad: [DIRECCIÓN]   ·   Fecha: [DD/MM/AAAA]   ·   Válida por 7 días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8C7B6B" w:sz="1"/>
          <w:bottom w:val="single" w:color="8C7B6B" w:sz="1"/>
          <w:left w:val="single" w:color="8C7B6B" w:sz="1"/>
          <w:right w:val="single" w:color="8C7B6B" w:sz="1"/>
        </w:pBdr>
        <w:shd w:fill="8C7B6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QUÉ INCLUYE LA GESTIÓN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6040"/>
      </w:tblGrid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Búsqueda y selección de inquilinos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Publicación, visitas, evaluación y selección del perfil adecuado.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Verificación de antecedentes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Informes crediticios y laborales del postulante antes de la firma.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Redacción y firma del contrato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Contrato acorde a la Ley 27.737 vigente, actualizado y sin riesgos.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Cobro mensual del alquiler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Gestión del cobro y transferencia al propietario con comprobante.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Actualización por índice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Seguimiento y aplicación del ajuste según ICL, IPC o UVA según contrato.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Reporte mensual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Informe del estado de la propiedad antes del día 10 de cada mes.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Gestión de reclamos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Intermediación con el inquilino ante cualquier inconveniente.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Canal directo de comunicación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WhatsApp directo con Cintia Gutleber o su socio. Respuesta en menos de 24hs.</w:t>
            </w:r>
          </w:p>
        </w:tc>
      </w:tr>
      <w:tr>
        <w:tc>
          <w:tcPr>
            <w:tcW w:type="dxa" w:w="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Asesoramiento legal continuo</w:t>
            </w:r>
          </w:p>
        </w:tc>
        <w:tc>
          <w:tcPr>
            <w:tcW w:type="dxa" w:w="5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Actualizaciones sobre cambios en la normativa de alquileres sin costo adicional.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top w:val="single" w:color="8C7B6B" w:sz="1"/>
                <w:bottom w:val="single" w:color="8C7B6B" w:sz="1"/>
                <w:left w:val="single" w:color="8C7B6B" w:sz="1"/>
                <w:right w:val="single" w:color="8C7B6B" w:sz="1"/>
              </w:pBdr>
              <w:shd w:fill="8C7B6B" w:val="clear"/>
              <w:spacing w:after="0" w:before="0"/>
              <w:ind w:lef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HONORARIOS</w:t>
            </w:r>
          </w:p>
          <w:tbl>
            <w:tblPr>
              <w:tblW w:type="dxa" w:w="46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860"/>
            </w:tblGrid>
            <w:tr>
              <w:tc>
                <w:tcPr>
                  <w:tcW w:type="dxa" w:w="280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Administración mensual</w:t>
                  </w:r>
                </w:p>
              </w:tc>
              <w:tc>
                <w:tcPr>
                  <w:tcW w:type="dxa" w:w="18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[X]% del alquiler cobrado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Nueva locación (única vez)</w:t>
                  </w:r>
                </w:p>
              </w:tc>
              <w:tc>
                <w:tcPr>
                  <w:tcW w:type="dxa" w:w="18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[X] mes/es de alquiler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Renovación de contrato</w:t>
                  </w:r>
                </w:p>
              </w:tc>
              <w:tc>
                <w:tcPr>
                  <w:tcW w:type="dxa" w:w="18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A convenir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C2A"/>
                      <w:sz w:val="20"/>
                      <w:szCs w:val="20"/>
                    </w:rPr>
                    <w:t xml:space="preserve">Cargos ocultos</w:t>
                  </w:r>
                </w:p>
              </w:tc>
              <w:tc>
                <w:tcPr>
                  <w:tcW w:type="dxa" w:w="18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C7B6B"/>
                      <w:sz w:val="20"/>
                      <w:szCs w:val="20"/>
                    </w:rPr>
                    <w:t xml:space="preserve">Ninguno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top w:val="single" w:color="2C2C2A" w:sz="1"/>
                <w:bottom w:val="single" w:color="2C2C2A" w:sz="1"/>
                <w:left w:val="single" w:color="2C2C2A" w:sz="1"/>
                <w:right w:val="single" w:color="2C2C2A" w:sz="1"/>
              </w:pBdr>
              <w:shd w:fill="2C2C2A" w:val="clear"/>
              <w:spacing w:after="0" w:before="0"/>
              <w:ind w:left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NUESTRO COMPROMISO</w:t>
            </w:r>
          </w:p>
          <w:tbl>
            <w:tblPr>
              <w:tblW w:type="dxa" w:w="46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60"/>
            </w:tblGrid>
            <w:tr>
              <w:tc>
                <w:tcPr>
                  <w:tcW w:type="dxa" w:w="46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00"/>
                    <w:left w:type="dxa" w:w="20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20"/>
                      <w:szCs w:val="20"/>
                    </w:rPr>
                    <w:t xml:space="preserve">· Siempre sabés qué pasa con tu propiedad.</w:t>
                  </w:r>
                </w:p>
              </w:tc>
            </w:tr>
            <w:tr>
              <w:tc>
                <w:tcPr>
                  <w:tcW w:type="dxa" w:w="46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00"/>
                    <w:left w:type="dxa" w:w="20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20"/>
                      <w:szCs w:val="20"/>
                    </w:rPr>
                    <w:t xml:space="preserve">· Reporte antes del día 10 de cada mes, sin excepción.</w:t>
                  </w:r>
                </w:p>
              </w:tc>
            </w:tr>
            <w:tr>
              <w:tc>
                <w:tcPr>
                  <w:tcW w:type="dxa" w:w="46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00"/>
                    <w:left w:type="dxa" w:w="20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20"/>
                      <w:szCs w:val="20"/>
                    </w:rPr>
                    <w:t xml:space="preserve">· Respuesta en menos de 24 horas hábiles.</w:t>
                  </w:r>
                </w:p>
              </w:tc>
            </w:tr>
            <w:tr>
              <w:tc>
                <w:tcPr>
                  <w:tcW w:type="dxa" w:w="46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FFFFF" w:val="clear"/>
                  <w:tcMar>
                    <w:top w:type="dxa" w:w="100"/>
                    <w:left w:type="dxa" w:w="20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20"/>
                      <w:szCs w:val="20"/>
                    </w:rPr>
                    <w:t xml:space="preserve">· Acceso directo a nosotros, no a un intermediario.</w:t>
                  </w:r>
                </w:p>
              </w:tc>
            </w:tr>
            <w:tr>
              <w:tc>
                <w:tcPr>
                  <w:tcW w:type="dxa" w:w="4660"/>
                  <w:tcBorders>
                    <w:top w:val="single" w:color="E0D8D0" w:sz="1"/>
                    <w:left w:val="single" w:color="E0D8D0" w:sz="1"/>
                    <w:bottom w:val="single" w:color="E0D8D0" w:sz="1"/>
                    <w:right w:val="single" w:color="E0D8D0" w:sz="1"/>
                  </w:tcBorders>
                  <w:shd w:fill="F7F3EE" w:val="clear"/>
                  <w:tcMar>
                    <w:top w:type="dxa" w:w="100"/>
                    <w:left w:type="dxa" w:w="20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20"/>
                      <w:szCs w:val="20"/>
                    </w:rPr>
                    <w:t xml:space="preserve">· Transparencia total en cada cobro y movimiento.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8C7B6B" w:sz="1"/>
          <w:bottom w:val="single" w:color="8C7B6B" w:sz="1"/>
          <w:left w:val="single" w:color="8C7B6B" w:sz="1"/>
          <w:right w:val="single" w:color="8C7B6B" w:sz="1"/>
        </w:pBdr>
        <w:shd w:fill="8C7B6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SIGUIENTES PASOS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920"/>
        <w:gridCol w:w="4840"/>
      </w:tblGrid>
      <w:tr>
        <w:tc>
          <w:tcPr>
            <w:tcW w:type="dxa" w:w="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C4B09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39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Confirmás tu decisión</w:t>
            </w:r>
          </w:p>
        </w:tc>
        <w:tc>
          <w:tcPr>
            <w:tcW w:type="dxa" w:w="484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Respondé este mensaje o escribinos por WhatsApp.</w:t>
            </w:r>
          </w:p>
        </w:tc>
      </w:tr>
      <w:tr>
        <w:tc>
          <w:tcPr>
            <w:tcW w:type="dxa" w:w="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39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Firmamos el contrato de administración</w:t>
            </w:r>
          </w:p>
        </w:tc>
        <w:tc>
          <w:tcPr>
            <w:tcW w:type="dxa" w:w="484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 enviamos el contrato para revisar. Lo firmamos en persona o digitalmente.</w:t>
            </w:r>
          </w:p>
        </w:tc>
      </w:tr>
      <w:tr>
        <w:tc>
          <w:tcPr>
            <w:tcW w:type="dxa" w:w="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C4B09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39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1"/>
                <w:szCs w:val="21"/>
              </w:rPr>
              <w:t xml:space="preserve">Arrancamos</w:t>
            </w:r>
          </w:p>
        </w:tc>
        <w:tc>
          <w:tcPr>
            <w:tcW w:type="dxa" w:w="484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Nos ocupamos de todo. Vos recibís información, nosotros trabajamos.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E0D8D0" w:sz="2" w:space="10"/>
        </w:pBdr>
        <w:spacing w:after="80" w:before="200"/>
      </w:pPr>
      <w:r>
        <w:rPr>
          <w:sz w:val="4"/>
          <w:szCs w:val="4"/>
        </w:rP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80"/>
        <w:gridCol w:w="324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Esta propuesta es confidencial y fue preparada exclusivamente para el destinatario indicado.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4B09A"/>
                <w:sz w:val="17"/>
                <w:szCs w:val="17"/>
              </w:rPr>
              <w:t xml:space="preserve">GUTLEBER &amp; ASOC.  ·  Posadas, Misiones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2026-05-08T19:14:38.637Z</dcterms:created>
  <dcterms:modified xsi:type="dcterms:W3CDTF">2026-05-08T19:14:38.637Z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