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8220"/>
      </w:tblGrid>
      <w:tr>
        <w:tc>
          <w:tcPr>
            <w:tcW w:type="dxa" w:w="558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20" w:type="dxa"/>
              <w:start w:w="30" w:type="dxa"/>
              <w:bottom w:w="20" w:type="dxa"/>
              <w:end w:w="3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8000" cy="13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ctiva_logo_v0.1_provision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8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20" w:type="dxa"/>
              <w:start w:w="30" w:type="dxa"/>
              <w:bottom w:w="20" w:type="dxa"/>
              <w:end w:w="3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2B2928"/>
                <w:sz w:val="44"/>
              </w:rPr>
              <w:t>LeadFlow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color w:val="B8543E"/>
                <w:sz w:val="19"/>
              </w:rPr>
              <w:t>Recepción y gestión automatizada de oportunidades comerciales</w:t>
            </w:r>
          </w:p>
        </w:tc>
      </w:tr>
    </w:tbl>
    <w:p>
      <w:pPr>
        <w:spacing w:before="20" w:after="80"/>
        <w:jc w:val="center"/>
      </w:pPr>
      <w:r>
        <w:rPr>
          <w:rFonts w:ascii="Arial" w:hAnsi="Arial"/>
          <w:color w:val="2B2928"/>
          <w:sz w:val="18"/>
        </w:rPr>
        <w:t>Dos modalidades para entregar LeadFlow según la capacidad técnica de tu organización.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4"/>
        <w:gridCol w:w="5414"/>
      </w:tblGrid>
      <w:tr>
        <w:tc>
          <w:tcPr>
            <w:tcW w:type="dxa" w:w="5584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6" w:color="D9D3CE"/>
              <w:left w:val="single" w:sz="6" w:color="D9D3CE"/>
              <w:bottom w:val="single" w:sz="6" w:color="D9D3CE"/>
              <w:right w:val="single" w:sz="6" w:color="D9D3CE"/>
              <w:insideH w:val="single" w:sz="6" w:color="D9D3CE"/>
              <w:insideV w:val="single" w:sz="6" w:color="D9D3CE"/>
            </w:tcBorders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color w:val="B8543E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MODALIDAD A  ENTREGA TÉCNICA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2B2928"/>
                <w:sz w:val="28"/>
              </w:rPr>
              <w:t>$400.000 CLP netos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2B2928"/>
                <w:sz w:val="16"/>
              </w:rPr>
              <w:t>Para empresas con capacidad técnica propia.</w:t>
            </w:r>
          </w:p>
          <w:p>
            <w:pPr>
              <w:spacing w:before="20" w:after="20"/>
            </w:pPr>
            <w:r>
              <w:rPr>
                <w:rFonts w:ascii="Arial" w:hAnsi="Arial"/>
                <w:b/>
                <w:color w:val="B8543E"/>
                <w:sz w:val="16"/>
              </w:rPr>
              <w:t>INCLUYE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5"/>
              </w:rPr>
              <w:t>• Derecho de uso condicionado de LeadFlow.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5"/>
              </w:rPr>
              <w:t>• Artefactos acordados.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5"/>
              </w:rPr>
              <w:t>• Documentación e instrucciones de configuración.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5"/>
              </w:rPr>
              <w:t>• Entrega técnica documentada.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5"/>
              </w:rPr>
              <w:t>• Soporte inicial por 5 días hábiles.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color w:val="B8543E"/>
                <w:sz w:val="16"/>
              </w:rPr>
              <w:t>NO INCLUYE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5"/>
              </w:rPr>
              <w:t>• Instalación y deployment en el entorno del cliente.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5"/>
              </w:rPr>
              <w:t>• Configuración del entorno.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5"/>
              </w:rPr>
              <w:t>• Desarrollo de nuevas integraciones.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5"/>
              </w:rPr>
              <w:t>• Operación y mantenimiento posterior.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color w:val="B8543E"/>
                <w:sz w:val="16"/>
              </w:rPr>
              <w:t xml:space="preserve">PLAZO  </w:t>
            </w:r>
            <w:r>
              <w:rPr>
                <w:rFonts w:ascii="Arial" w:hAnsi="Arial"/>
                <w:color w:val="2B2928"/>
                <w:sz w:val="16"/>
              </w:rPr>
              <w:t>1 día hábil desde requisitos verificados.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B8543E"/>
                <w:sz w:val="15"/>
              </w:rPr>
              <w:t xml:space="preserve">APORTA EL CLIENTE  </w:t>
            </w:r>
            <w:r>
              <w:rPr>
                <w:rFonts w:ascii="Arial" w:hAnsi="Arial"/>
                <w:color w:val="2B2928"/>
                <w:sz w:val="15"/>
              </w:rPr>
              <w:t>El cliente implementa, despliega, aporta infraestructura, cuentas y accesos, y asume la operación.</w:t>
            </w:r>
          </w:p>
        </w:tc>
        <w:tc>
          <w:tcPr>
            <w:tcW w:type="dxa" w:w="5584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6" w:color="D9D3CE"/>
              <w:left w:val="single" w:sz="6" w:color="D9D3CE"/>
              <w:bottom w:val="single" w:sz="6" w:color="D9D3CE"/>
              <w:right w:val="single" w:sz="6" w:color="D9D3CE"/>
              <w:insideH w:val="single" w:sz="6" w:color="D9D3CE"/>
              <w:insideV w:val="single" w:sz="6" w:color="D9D3CE"/>
            </w:tcBorders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color w:val="B8543E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MODALIDAD B  IMPLEMENTADO POR EMACTIVA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2B2928"/>
                <w:sz w:val="28"/>
              </w:rPr>
              <w:t>$1.200.000 CLP netos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2B2928"/>
                <w:sz w:val="16"/>
              </w:rPr>
              <w:t>Para empresas que necesitan implementación.</w:t>
            </w:r>
          </w:p>
          <w:p>
            <w:pPr>
              <w:spacing w:before="20" w:after="20"/>
            </w:pPr>
            <w:r>
              <w:rPr>
                <w:rFonts w:ascii="Arial" w:hAnsi="Arial"/>
                <w:b/>
                <w:color w:val="B8543E"/>
                <w:sz w:val="16"/>
              </w:rPr>
              <w:t>INCLUYE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5"/>
              </w:rPr>
              <w:t>• Derecho de uso condicionado de LeadFlow.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5"/>
              </w:rPr>
              <w:t>• Instalación y configuración acordadas.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5"/>
              </w:rPr>
              <w:t>• Una integración de fuente compatible acordada.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5"/>
              </w:rPr>
              <w:t>• HubSpot dentro del alcance validado.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5"/>
              </w:rPr>
              <w:t>• Pruebas aplicables y entrega documentada.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5"/>
              </w:rPr>
              <w:t>• Soporte inicial por 10 días hábiles.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color w:val="B8543E"/>
                <w:sz w:val="16"/>
              </w:rPr>
              <w:t>NO INCLUYE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5"/>
              </w:rPr>
              <w:t>• Hosting/VPS o servicios externos pagados por Emactiva.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5"/>
              </w:rPr>
              <w:t>• Desarrollo de nuevos CRM Adapters.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5"/>
              </w:rPr>
              <w:t>• Funcionalidades no acordadas.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5"/>
              </w:rPr>
              <w:t>• Operación y mantenimiento permanente.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color w:val="B8543E"/>
                <w:sz w:val="16"/>
              </w:rPr>
              <w:t xml:space="preserve">PLAZO  </w:t>
            </w:r>
            <w:r>
              <w:rPr>
                <w:rFonts w:ascii="Arial" w:hAnsi="Arial"/>
                <w:color w:val="2B2928"/>
                <w:sz w:val="16"/>
              </w:rPr>
              <w:t>5 días hábiles desde requisitos verificados y preflight aprobado.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B8543E"/>
                <w:sz w:val="15"/>
              </w:rPr>
              <w:t xml:space="preserve">APORTA EL CLIENTE  </w:t>
            </w:r>
            <w:r>
              <w:rPr>
                <w:rFonts w:ascii="Arial" w:hAnsi="Arial"/>
                <w:color w:val="2B2928"/>
                <w:sz w:val="15"/>
              </w:rPr>
              <w:t>El cliente aporta cuentas, infraestructura, información, permisos y accesos autorizados.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color w:val="2B2928"/>
          <w:sz w:val="18"/>
        </w:rPr>
        <w:t>CONDICIONES COMUNES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4"/>
        <w:gridCol w:w="5414"/>
      </w:tblGrid>
      <w:tr>
        <w:tc>
          <w:tcPr>
            <w:tcW w:type="dxa" w:w="558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6" w:color="D9D3CE"/>
              <w:left w:val="single" w:sz="6" w:color="D9D3CE"/>
              <w:bottom w:val="single" w:sz="6" w:color="D9D3CE"/>
              <w:right w:val="single" w:sz="6" w:color="D9D3CE"/>
              <w:insideH w:val="single" w:sz="6" w:color="D9D3CE"/>
              <w:insideV w:val="single" w:sz="6" w:color="D9D3CE"/>
            </w:tcBorders>
            <w:shd w:fill="FFFFFF"/>
          </w:tcPr>
          <w:p>
            <w:r/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4"/>
              </w:rPr>
              <w:t>• CRM inicial: HubSpot dentro del alcance documentado. Otros CRM requieren evaluación y cotización.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4"/>
              </w:rPr>
              <w:t>• Costos externos, licencias y suscripciones necesarias son de cargo del cliente.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4"/>
              </w:rPr>
              <w:t>• Pago: 50 % anticipo y 50 % contra entrega conforme.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4"/>
              </w:rPr>
              <w:t>• Observaciones: 3 días hábiles.</w:t>
            </w:r>
          </w:p>
        </w:tc>
        <w:tc>
          <w:tcPr>
            <w:tcW w:type="dxa" w:w="558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6" w:color="D9D3CE"/>
              <w:left w:val="single" w:sz="6" w:color="D9D3CE"/>
              <w:bottom w:val="single" w:sz="6" w:color="D9D3CE"/>
              <w:right w:val="single" w:sz="6" w:color="D9D3CE"/>
              <w:insideH w:val="single" w:sz="6" w:color="D9D3CE"/>
              <w:insideV w:val="single" w:sz="6" w:color="D9D3CE"/>
            </w:tcBorders>
            <w:shd w:fill="FFFFFF"/>
          </w:tcPr>
          <w:p>
            <w:r/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4"/>
              </w:rPr>
              <w:t>• Emactiva corrige sin costo adicional los defectos atribuibles a su responsabilidad.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4"/>
              </w:rPr>
              <w:t>• Cambios fuera de alcance se cotizan aparte.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4"/>
              </w:rPr>
              <w:t>• Sin mantenimiento mensual ni soporte 24/7 incluidos.</w:t>
            </w:r>
          </w:p>
          <w:p>
            <w:pPr>
              <w:spacing w:before="0" w:after="24" w:line="240" w:lineRule="auto"/>
              <w:ind w:left="142" w:hanging="102"/>
            </w:pPr>
            <w:r>
              <w:rPr>
                <w:rFonts w:ascii="Arial" w:hAnsi="Arial"/>
                <w:color w:val="2B2928"/>
                <w:sz w:val="14"/>
              </w:rPr>
              <w:t>• Derechos de uso, precios e impuestos sujetos a revisión jurídica, de licencias y tributaria.</w:t>
            </w:r>
          </w:p>
        </w:tc>
      </w:tr>
    </w:tbl>
    <w:p>
      <w:pPr>
        <w:spacing w:before="80" w:after="0"/>
        <w:jc w:val="center"/>
      </w:pPr>
      <w:r>
        <w:rPr>
          <w:rFonts w:ascii="Arial" w:hAnsi="Arial"/>
          <w:i/>
          <w:color w:val="B8543E"/>
          <w:sz w:val="14"/>
        </w:rPr>
        <w:t>Precios iniciales netos. Oferta sujeta a alcance, requisitos verificados y revisión humana.</w:t>
      </w:r>
    </w:p>
    <w:sectPr w:rsidR="00FC693F" w:rsidRPr="0006063C" w:rsidSect="00034616">
      <w:footerReference w:type="default" r:id="rId10"/>
      <w:pgSz w:w="11906" w:h="16838"/>
      <w:pgMar w:top="312" w:right="369" w:bottom="312" w:left="369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2B2928"/>
        <w:sz w:val="14"/>
      </w:rPr>
      <w:t>EMACTIVA   Ideas que avanzan contigo   |   LeadFlow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928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