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080" w:hanging="1080"/>
        <w:jc w:val="both"/>
        <w:rPr/>
      </w:pPr>
      <w:r w:rsidDel="00000000" w:rsidR="00000000" w:rsidRPr="00000000">
        <w:rPr>
          <w:rtl w:val="0"/>
        </w:rPr>
        <w:tab/>
        <w:t xml:space="preserve">When looking at the overall units sold by category we notice that the most sold category is office supplies followed by beverages both with over 60K units sold. Fruits, clothes and vegetables follow closely with around 58-59k units sold</w:t>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114300</wp:posOffset>
            </wp:positionV>
            <wp:extent cx="3395663" cy="2105964"/>
            <wp:effectExtent b="0" l="0" r="0" t="0"/>
            <wp:wrapSquare wrapText="bothSides" distB="114300" distT="114300" distL="114300" distR="114300"/>
            <wp:docPr descr="Chart" id="6" name="image3.png"/>
            <a:graphic>
              <a:graphicData uri="http://schemas.openxmlformats.org/drawingml/2006/picture">
                <pic:pic>
                  <pic:nvPicPr>
                    <pic:cNvPr descr="Chart" id="0" name="image3.png"/>
                    <pic:cNvPicPr preferRelativeResize="0"/>
                  </pic:nvPicPr>
                  <pic:blipFill>
                    <a:blip r:embed="rId6"/>
                    <a:srcRect b="0" l="0" r="0" t="0"/>
                    <a:stretch>
                      <a:fillRect/>
                    </a:stretch>
                  </pic:blipFill>
                  <pic:spPr>
                    <a:xfrm>
                      <a:off x="0" y="0"/>
                      <a:ext cx="3395663" cy="2105964"/>
                    </a:xfrm>
                    <a:prstGeom prst="rect"/>
                    <a:ln/>
                  </pic:spPr>
                </pic:pic>
              </a:graphicData>
            </a:graphic>
          </wp:anchor>
        </w:drawing>
      </w:r>
    </w:p>
    <w:p w:rsidR="00000000" w:rsidDel="00000000" w:rsidP="00000000" w:rsidRDefault="00000000" w:rsidRPr="00000000" w14:paraId="00000002">
      <w:pPr>
        <w:ind w:right="-1080" w:hanging="1080"/>
        <w:rPr/>
      </w:pPr>
      <w:r w:rsidDel="00000000" w:rsidR="00000000" w:rsidRPr="00000000">
        <w:rPr>
          <w:rtl w:val="0"/>
        </w:rPr>
      </w:r>
    </w:p>
    <w:p w:rsidR="00000000" w:rsidDel="00000000" w:rsidP="00000000" w:rsidRDefault="00000000" w:rsidRPr="00000000" w14:paraId="00000003">
      <w:pPr>
        <w:ind w:right="-1080" w:hanging="1080"/>
        <w:rPr/>
      </w:pPr>
      <w:r w:rsidDel="00000000" w:rsidR="00000000" w:rsidRPr="00000000">
        <w:rPr>
          <w:rtl w:val="0"/>
        </w:rPr>
      </w:r>
    </w:p>
    <w:p w:rsidR="00000000" w:rsidDel="00000000" w:rsidP="00000000" w:rsidRDefault="00000000" w:rsidRPr="00000000" w14:paraId="00000004">
      <w:pPr>
        <w:ind w:right="-1080" w:hanging="1080"/>
        <w:rPr/>
      </w:pPr>
      <w:r w:rsidDel="00000000" w:rsidR="00000000" w:rsidRPr="00000000">
        <w:rPr>
          <w:rtl w:val="0"/>
        </w:rPr>
      </w:r>
    </w:p>
    <w:p w:rsidR="00000000" w:rsidDel="00000000" w:rsidP="00000000" w:rsidRDefault="00000000" w:rsidRPr="00000000" w14:paraId="00000005">
      <w:pPr>
        <w:ind w:right="-1080" w:hanging="1080"/>
        <w:rPr/>
      </w:pPr>
      <w:r w:rsidDel="00000000" w:rsidR="00000000" w:rsidRPr="00000000">
        <w:rPr>
          <w:rtl w:val="0"/>
        </w:rPr>
      </w:r>
    </w:p>
    <w:p w:rsidR="00000000" w:rsidDel="00000000" w:rsidP="00000000" w:rsidRDefault="00000000" w:rsidRPr="00000000" w14:paraId="00000006">
      <w:pPr>
        <w:ind w:right="-1080" w:hanging="1080"/>
        <w:rPr/>
      </w:pPr>
      <w:r w:rsidDel="00000000" w:rsidR="00000000" w:rsidRPr="00000000">
        <w:rPr>
          <w:rtl w:val="0"/>
        </w:rPr>
      </w:r>
    </w:p>
    <w:p w:rsidR="00000000" w:rsidDel="00000000" w:rsidP="00000000" w:rsidRDefault="00000000" w:rsidRPr="00000000" w14:paraId="00000007">
      <w:pPr>
        <w:ind w:right="-1080" w:hanging="1080"/>
        <w:rPr/>
      </w:pPr>
      <w:r w:rsidDel="00000000" w:rsidR="00000000" w:rsidRPr="00000000">
        <w:rPr>
          <w:rtl w:val="0"/>
        </w:rPr>
      </w:r>
    </w:p>
    <w:p w:rsidR="00000000" w:rsidDel="00000000" w:rsidP="00000000" w:rsidRDefault="00000000" w:rsidRPr="00000000" w14:paraId="00000008">
      <w:pPr>
        <w:ind w:right="-1080" w:hanging="1080"/>
        <w:rPr/>
      </w:pPr>
      <w:r w:rsidDel="00000000" w:rsidR="00000000" w:rsidRPr="00000000">
        <w:rPr>
          <w:rtl w:val="0"/>
        </w:rPr>
      </w:r>
    </w:p>
    <w:p w:rsidR="00000000" w:rsidDel="00000000" w:rsidP="00000000" w:rsidRDefault="00000000" w:rsidRPr="00000000" w14:paraId="00000009">
      <w:pPr>
        <w:ind w:right="-1080" w:hanging="1080"/>
        <w:rPr/>
      </w:pPr>
      <w:r w:rsidDel="00000000" w:rsidR="00000000" w:rsidRPr="00000000">
        <w:rPr>
          <w:rtl w:val="0"/>
        </w:rPr>
      </w:r>
    </w:p>
    <w:p w:rsidR="00000000" w:rsidDel="00000000" w:rsidP="00000000" w:rsidRDefault="00000000" w:rsidRPr="00000000" w14:paraId="0000000A">
      <w:pPr>
        <w:ind w:right="-1080" w:hanging="10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203788</wp:posOffset>
            </wp:positionV>
            <wp:extent cx="4603494" cy="1807462"/>
            <wp:effectExtent b="0" l="0" r="0" t="0"/>
            <wp:wrapSquare wrapText="bothSides" distB="114300" distT="114300" distL="114300" distR="114300"/>
            <wp:docPr descr="Chart" id="5"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4603494" cy="1807462"/>
                    </a:xfrm>
                    <a:prstGeom prst="rect"/>
                    <a:ln/>
                  </pic:spPr>
                </pic:pic>
              </a:graphicData>
            </a:graphic>
          </wp:anchor>
        </w:drawing>
      </w:r>
    </w:p>
    <w:p w:rsidR="00000000" w:rsidDel="00000000" w:rsidP="00000000" w:rsidRDefault="00000000" w:rsidRPr="00000000" w14:paraId="0000000B">
      <w:pPr>
        <w:ind w:right="-1080" w:hanging="1080"/>
        <w:jc w:val="both"/>
        <w:rPr/>
      </w:pPr>
      <w:r w:rsidDel="00000000" w:rsidR="00000000" w:rsidRPr="00000000">
        <w:rPr>
          <w:rtl w:val="0"/>
        </w:rPr>
        <w:t xml:space="preserve">However when looking at the total profit by category we notice that beverages is second to last (due to high cost) while office supplies is still the leading product category. We also notice that the three most profitable categories are office supplies, household items and cosmetics, all non-perishable. </w:t>
      </w:r>
    </w:p>
    <w:p w:rsidR="00000000" w:rsidDel="00000000" w:rsidP="00000000" w:rsidRDefault="00000000" w:rsidRPr="00000000" w14:paraId="0000000C">
      <w:pPr>
        <w:ind w:right="-1080" w:hanging="1080"/>
        <w:jc w:val="both"/>
        <w:rPr/>
      </w:pPr>
      <w:r w:rsidDel="00000000" w:rsidR="00000000" w:rsidRPr="00000000">
        <w:rPr>
          <w:rtl w:val="0"/>
        </w:rPr>
      </w:r>
    </w:p>
    <w:p w:rsidR="00000000" w:rsidDel="00000000" w:rsidP="00000000" w:rsidRDefault="00000000" w:rsidRPr="00000000" w14:paraId="0000000D">
      <w:pPr>
        <w:ind w:right="-1080" w:hanging="1080"/>
        <w:jc w:val="both"/>
        <w:rPr/>
      </w:pPr>
      <w:r w:rsidDel="00000000" w:rsidR="00000000" w:rsidRPr="00000000">
        <w:rPr>
          <w:rtl w:val="0"/>
        </w:rPr>
      </w:r>
    </w:p>
    <w:p w:rsidR="00000000" w:rsidDel="00000000" w:rsidP="00000000" w:rsidRDefault="00000000" w:rsidRPr="00000000" w14:paraId="0000000E">
      <w:pPr>
        <w:ind w:right="-1080" w:hanging="108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175213</wp:posOffset>
            </wp:positionV>
            <wp:extent cx="5843588" cy="3038475"/>
            <wp:effectExtent b="0" l="0" r="0" t="0"/>
            <wp:wrapSquare wrapText="bothSides" distB="114300" distT="114300" distL="114300" distR="114300"/>
            <wp:docPr descr="Chart" id="2" name="image4.png"/>
            <a:graphic>
              <a:graphicData uri="http://schemas.openxmlformats.org/drawingml/2006/picture">
                <pic:pic>
                  <pic:nvPicPr>
                    <pic:cNvPr descr="Chart" id="0" name="image4.png"/>
                    <pic:cNvPicPr preferRelativeResize="0"/>
                  </pic:nvPicPr>
                  <pic:blipFill>
                    <a:blip r:embed="rId8"/>
                    <a:srcRect b="0" l="0" r="0" t="0"/>
                    <a:stretch>
                      <a:fillRect/>
                    </a:stretch>
                  </pic:blipFill>
                  <pic:spPr>
                    <a:xfrm>
                      <a:off x="0" y="0"/>
                      <a:ext cx="5843588" cy="3038475"/>
                    </a:xfrm>
                    <a:prstGeom prst="rect"/>
                    <a:ln/>
                  </pic:spPr>
                </pic:pic>
              </a:graphicData>
            </a:graphic>
          </wp:anchor>
        </w:drawing>
      </w:r>
    </w:p>
    <w:p w:rsidR="00000000" w:rsidDel="00000000" w:rsidP="00000000" w:rsidRDefault="00000000" w:rsidRPr="00000000" w14:paraId="0000000F">
      <w:pPr>
        <w:ind w:right="-1080" w:hanging="1080"/>
        <w:jc w:val="both"/>
        <w:rPr/>
      </w:pPr>
      <w:r w:rsidDel="00000000" w:rsidR="00000000" w:rsidRPr="00000000">
        <w:rPr>
          <w:rtl w:val="0"/>
        </w:rPr>
      </w:r>
    </w:p>
    <w:p w:rsidR="00000000" w:rsidDel="00000000" w:rsidP="00000000" w:rsidRDefault="00000000" w:rsidRPr="00000000" w14:paraId="00000010">
      <w:pPr>
        <w:ind w:right="-1080" w:hanging="1080"/>
        <w:jc w:val="both"/>
        <w:rPr/>
      </w:pPr>
      <w:r w:rsidDel="00000000" w:rsidR="00000000" w:rsidRPr="00000000">
        <w:rPr>
          <w:rtl w:val="0"/>
        </w:rPr>
      </w:r>
    </w:p>
    <w:p w:rsidR="00000000" w:rsidDel="00000000" w:rsidP="00000000" w:rsidRDefault="00000000" w:rsidRPr="00000000" w14:paraId="00000011">
      <w:pPr>
        <w:ind w:right="-1080" w:hanging="1080"/>
        <w:jc w:val="both"/>
        <w:rPr/>
      </w:pPr>
      <w:r w:rsidDel="00000000" w:rsidR="00000000" w:rsidRPr="00000000">
        <w:rPr>
          <w:rtl w:val="0"/>
        </w:rPr>
      </w:r>
    </w:p>
    <w:p w:rsidR="00000000" w:rsidDel="00000000" w:rsidP="00000000" w:rsidRDefault="00000000" w:rsidRPr="00000000" w14:paraId="00000012">
      <w:pPr>
        <w:ind w:right="-1080" w:hanging="1080"/>
        <w:jc w:val="both"/>
        <w:rPr/>
      </w:pPr>
      <w:r w:rsidDel="00000000" w:rsidR="00000000" w:rsidRPr="00000000">
        <w:rPr>
          <w:rtl w:val="0"/>
        </w:rPr>
      </w:r>
    </w:p>
    <w:p w:rsidR="00000000" w:rsidDel="00000000" w:rsidP="00000000" w:rsidRDefault="00000000" w:rsidRPr="00000000" w14:paraId="00000013">
      <w:pPr>
        <w:ind w:right="-1080" w:hanging="1080"/>
        <w:jc w:val="both"/>
        <w:rPr/>
      </w:pPr>
      <w:r w:rsidDel="00000000" w:rsidR="00000000" w:rsidRPr="00000000">
        <w:rPr>
          <w:rtl w:val="0"/>
        </w:rPr>
      </w:r>
    </w:p>
    <w:p w:rsidR="00000000" w:rsidDel="00000000" w:rsidP="00000000" w:rsidRDefault="00000000" w:rsidRPr="00000000" w14:paraId="00000014">
      <w:pPr>
        <w:ind w:right="-1080" w:hanging="1080"/>
        <w:jc w:val="both"/>
        <w:rPr/>
      </w:pPr>
      <w:r w:rsidDel="00000000" w:rsidR="00000000" w:rsidRPr="00000000">
        <w:rPr>
          <w:rtl w:val="0"/>
        </w:rPr>
      </w:r>
    </w:p>
    <w:p w:rsidR="00000000" w:rsidDel="00000000" w:rsidP="00000000" w:rsidRDefault="00000000" w:rsidRPr="00000000" w14:paraId="00000015">
      <w:pPr>
        <w:ind w:right="-1080" w:hanging="1080"/>
        <w:jc w:val="both"/>
        <w:rPr/>
      </w:pPr>
      <w:r w:rsidDel="00000000" w:rsidR="00000000" w:rsidRPr="00000000">
        <w:rPr>
          <w:rtl w:val="0"/>
        </w:rPr>
      </w:r>
    </w:p>
    <w:p w:rsidR="00000000" w:rsidDel="00000000" w:rsidP="00000000" w:rsidRDefault="00000000" w:rsidRPr="00000000" w14:paraId="00000016">
      <w:pPr>
        <w:ind w:right="-1080" w:hanging="1080"/>
        <w:jc w:val="both"/>
        <w:rPr/>
      </w:pPr>
      <w:r w:rsidDel="00000000" w:rsidR="00000000" w:rsidRPr="00000000">
        <w:rPr>
          <w:rtl w:val="0"/>
        </w:rPr>
      </w:r>
    </w:p>
    <w:p w:rsidR="00000000" w:rsidDel="00000000" w:rsidP="00000000" w:rsidRDefault="00000000" w:rsidRPr="00000000" w14:paraId="00000017">
      <w:pPr>
        <w:ind w:right="-1080" w:hanging="1080"/>
        <w:jc w:val="both"/>
        <w:rPr/>
      </w:pPr>
      <w:r w:rsidDel="00000000" w:rsidR="00000000" w:rsidRPr="00000000">
        <w:rPr>
          <w:rtl w:val="0"/>
        </w:rPr>
      </w:r>
    </w:p>
    <w:p w:rsidR="00000000" w:rsidDel="00000000" w:rsidP="00000000" w:rsidRDefault="00000000" w:rsidRPr="00000000" w14:paraId="00000018">
      <w:pPr>
        <w:ind w:right="-1080" w:hanging="1080"/>
        <w:jc w:val="both"/>
        <w:rPr/>
      </w:pPr>
      <w:r w:rsidDel="00000000" w:rsidR="00000000" w:rsidRPr="00000000">
        <w:rPr>
          <w:rtl w:val="0"/>
        </w:rPr>
      </w:r>
    </w:p>
    <w:p w:rsidR="00000000" w:rsidDel="00000000" w:rsidP="00000000" w:rsidRDefault="00000000" w:rsidRPr="00000000" w14:paraId="00000019">
      <w:pPr>
        <w:ind w:right="-1080" w:hanging="1080"/>
        <w:jc w:val="both"/>
        <w:rPr/>
      </w:pPr>
      <w:r w:rsidDel="00000000" w:rsidR="00000000" w:rsidRPr="00000000">
        <w:rPr>
          <w:rtl w:val="0"/>
        </w:rPr>
      </w:r>
    </w:p>
    <w:p w:rsidR="00000000" w:rsidDel="00000000" w:rsidP="00000000" w:rsidRDefault="00000000" w:rsidRPr="00000000" w14:paraId="0000001A">
      <w:pPr>
        <w:ind w:right="-1080" w:hanging="1080"/>
        <w:jc w:val="both"/>
        <w:rPr/>
      </w:pPr>
      <w:r w:rsidDel="00000000" w:rsidR="00000000" w:rsidRPr="00000000">
        <w:rPr>
          <w:rtl w:val="0"/>
        </w:rPr>
      </w:r>
    </w:p>
    <w:p w:rsidR="00000000" w:rsidDel="00000000" w:rsidP="00000000" w:rsidRDefault="00000000" w:rsidRPr="00000000" w14:paraId="0000001B">
      <w:pPr>
        <w:ind w:right="-1080" w:hanging="1080"/>
        <w:jc w:val="both"/>
        <w:rPr/>
      </w:pPr>
      <w:r w:rsidDel="00000000" w:rsidR="00000000" w:rsidRPr="00000000">
        <w:rPr>
          <w:rtl w:val="0"/>
        </w:rPr>
      </w:r>
    </w:p>
    <w:p w:rsidR="00000000" w:rsidDel="00000000" w:rsidP="00000000" w:rsidRDefault="00000000" w:rsidRPr="00000000" w14:paraId="0000001C">
      <w:pPr>
        <w:ind w:right="-1080" w:hanging="1080"/>
        <w:jc w:val="both"/>
        <w:rPr/>
      </w:pPr>
      <w:r w:rsidDel="00000000" w:rsidR="00000000" w:rsidRPr="00000000">
        <w:rPr>
          <w:rtl w:val="0"/>
        </w:rPr>
      </w:r>
    </w:p>
    <w:p w:rsidR="00000000" w:rsidDel="00000000" w:rsidP="00000000" w:rsidRDefault="00000000" w:rsidRPr="00000000" w14:paraId="0000001D">
      <w:pPr>
        <w:ind w:right="-1080" w:hanging="1080"/>
        <w:jc w:val="both"/>
        <w:rPr/>
      </w:pPr>
      <w:r w:rsidDel="00000000" w:rsidR="00000000" w:rsidRPr="00000000">
        <w:rPr>
          <w:rtl w:val="0"/>
        </w:rPr>
      </w:r>
    </w:p>
    <w:p w:rsidR="00000000" w:rsidDel="00000000" w:rsidP="00000000" w:rsidRDefault="00000000" w:rsidRPr="00000000" w14:paraId="0000001E">
      <w:pPr>
        <w:ind w:right="-1080" w:hanging="1080"/>
        <w:jc w:val="both"/>
        <w:rPr/>
      </w:pPr>
      <w:r w:rsidDel="00000000" w:rsidR="00000000" w:rsidRPr="00000000">
        <w:rPr>
          <w:rtl w:val="0"/>
        </w:rPr>
      </w:r>
    </w:p>
    <w:p w:rsidR="00000000" w:rsidDel="00000000" w:rsidP="00000000" w:rsidRDefault="00000000" w:rsidRPr="00000000" w14:paraId="0000001F">
      <w:pPr>
        <w:ind w:right="-1080" w:hanging="1080"/>
        <w:jc w:val="both"/>
        <w:rPr/>
      </w:pPr>
      <w:r w:rsidDel="00000000" w:rsidR="00000000" w:rsidRPr="00000000">
        <w:rPr>
          <w:rtl w:val="0"/>
        </w:rPr>
      </w:r>
    </w:p>
    <w:p w:rsidR="00000000" w:rsidDel="00000000" w:rsidP="00000000" w:rsidRDefault="00000000" w:rsidRPr="00000000" w14:paraId="00000020">
      <w:pPr>
        <w:ind w:right="-1080" w:hanging="1080"/>
        <w:jc w:val="both"/>
        <w:rPr/>
      </w:pPr>
      <w:r w:rsidDel="00000000" w:rsidR="00000000" w:rsidRPr="00000000">
        <w:rPr>
          <w:rtl w:val="0"/>
        </w:rPr>
      </w:r>
    </w:p>
    <w:p w:rsidR="00000000" w:rsidDel="00000000" w:rsidP="00000000" w:rsidRDefault="00000000" w:rsidRPr="00000000" w14:paraId="00000021">
      <w:pPr>
        <w:ind w:right="-1080" w:hanging="1080"/>
        <w:jc w:val="both"/>
        <w:rPr/>
      </w:pPr>
      <w:r w:rsidDel="00000000" w:rsidR="00000000" w:rsidRPr="00000000">
        <w:rPr>
          <w:rtl w:val="0"/>
        </w:rPr>
        <w:tab/>
        <w:tab/>
        <w:t xml:space="preserve">As for yearly trends, office supplies have kept consistently profitable across the years, while household items have taken a massive down-turn in profitability in the past year (from 2.9 million $ in 2016 to just 1.6 million $ in 2017). Also cosmetics have had an up-turn from 1.1 million in 2016 to 1.49 million in 2017.</w:t>
      </w:r>
    </w:p>
    <w:p w:rsidR="00000000" w:rsidDel="00000000" w:rsidP="00000000" w:rsidRDefault="00000000" w:rsidRPr="00000000" w14:paraId="00000022">
      <w:pPr>
        <w:ind w:right="-1080" w:hanging="1080"/>
        <w:jc w:val="both"/>
        <w:rPr/>
      </w:pPr>
      <w:r w:rsidDel="00000000" w:rsidR="00000000" w:rsidRPr="00000000">
        <w:rPr>
          <w:rtl w:val="0"/>
        </w:rPr>
        <w:tab/>
        <w:tab/>
        <w:t xml:space="preserve">Noticeable is that cereals have recorded a </w:t>
      </w:r>
      <w:r w:rsidDel="00000000" w:rsidR="00000000" w:rsidRPr="00000000">
        <w:rPr>
          <w:u w:val="single"/>
          <w:rtl w:val="0"/>
        </w:rPr>
        <w:t xml:space="preserve">loss</w:t>
      </w:r>
      <w:r w:rsidDel="00000000" w:rsidR="00000000" w:rsidRPr="00000000">
        <w:rPr>
          <w:rtl w:val="0"/>
        </w:rPr>
        <w:t xml:space="preserve"> of 2.9 million dollars in 2017, when losses for 2016 were around 300k.</w:t>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474250</wp:posOffset>
            </wp:positionV>
            <wp:extent cx="4586288" cy="2845617"/>
            <wp:effectExtent b="0" l="0" r="0" t="0"/>
            <wp:wrapSquare wrapText="bothSides" distB="114300" distT="114300" distL="114300" distR="114300"/>
            <wp:docPr descr="Chart" id="4" name="image6.png"/>
            <a:graphic>
              <a:graphicData uri="http://schemas.openxmlformats.org/drawingml/2006/picture">
                <pic:pic>
                  <pic:nvPicPr>
                    <pic:cNvPr descr="Chart" id="0" name="image6.png"/>
                    <pic:cNvPicPr preferRelativeResize="0"/>
                  </pic:nvPicPr>
                  <pic:blipFill>
                    <a:blip r:embed="rId9"/>
                    <a:srcRect b="0" l="0" r="0" t="0"/>
                    <a:stretch>
                      <a:fillRect/>
                    </a:stretch>
                  </pic:blipFill>
                  <pic:spPr>
                    <a:xfrm>
                      <a:off x="0" y="0"/>
                      <a:ext cx="4586288" cy="2845617"/>
                    </a:xfrm>
                    <a:prstGeom prst="rect"/>
                    <a:ln/>
                  </pic:spPr>
                </pic:pic>
              </a:graphicData>
            </a:graphic>
          </wp:anchor>
        </w:drawing>
      </w:r>
    </w:p>
    <w:p w:rsidR="00000000" w:rsidDel="00000000" w:rsidP="00000000" w:rsidRDefault="00000000" w:rsidRPr="00000000" w14:paraId="00000023">
      <w:pPr>
        <w:ind w:right="-1080" w:hanging="1080"/>
        <w:jc w:val="both"/>
        <w:rPr/>
      </w:pPr>
      <w:r w:rsidDel="00000000" w:rsidR="00000000" w:rsidRPr="00000000">
        <w:rPr>
          <w:rtl w:val="0"/>
        </w:rPr>
      </w:r>
    </w:p>
    <w:p w:rsidR="00000000" w:rsidDel="00000000" w:rsidP="00000000" w:rsidRDefault="00000000" w:rsidRPr="00000000" w14:paraId="00000024">
      <w:pPr>
        <w:ind w:right="-1080" w:hanging="1080"/>
        <w:jc w:val="both"/>
        <w:rPr/>
      </w:pPr>
      <w:r w:rsidDel="00000000" w:rsidR="00000000" w:rsidRPr="00000000">
        <w:rPr>
          <w:rtl w:val="0"/>
        </w:rPr>
        <w:tab/>
      </w:r>
    </w:p>
    <w:p w:rsidR="00000000" w:rsidDel="00000000" w:rsidP="00000000" w:rsidRDefault="00000000" w:rsidRPr="00000000" w14:paraId="00000025">
      <w:pPr>
        <w:ind w:right="-1080" w:hanging="1080"/>
        <w:jc w:val="both"/>
        <w:rPr/>
      </w:pPr>
      <w:r w:rsidDel="00000000" w:rsidR="00000000" w:rsidRPr="00000000">
        <w:rPr>
          <w:rtl w:val="0"/>
        </w:rPr>
      </w:r>
    </w:p>
    <w:p w:rsidR="00000000" w:rsidDel="00000000" w:rsidP="00000000" w:rsidRDefault="00000000" w:rsidRPr="00000000" w14:paraId="00000026">
      <w:pPr>
        <w:ind w:right="-1080" w:hanging="1080"/>
        <w:jc w:val="both"/>
        <w:rPr/>
      </w:pPr>
      <w:r w:rsidDel="00000000" w:rsidR="00000000" w:rsidRPr="00000000">
        <w:rPr>
          <w:rtl w:val="0"/>
        </w:rPr>
        <w:t xml:space="preserve">Looking only at the past year we see that beverages, snacks, cosmetics and office supplies make up around </w:t>
      </w:r>
      <w:r w:rsidDel="00000000" w:rsidR="00000000" w:rsidRPr="00000000">
        <w:rPr>
          <w:b w:val="1"/>
          <w:bCs w:val="1"/>
          <w:rtl w:val="0"/>
        </w:rPr>
        <w:t xml:space="preserve">52%</w:t>
      </w:r>
      <w:r w:rsidDel="00000000" w:rsidR="00000000" w:rsidRPr="00000000">
        <w:rPr>
          <w:rtl w:val="0"/>
        </w:rPr>
        <w:t xml:space="preserve"> of total yearly units sold.</w:t>
      </w:r>
    </w:p>
    <w:p w:rsidR="00000000" w:rsidDel="00000000" w:rsidP="00000000" w:rsidRDefault="00000000" w:rsidRPr="00000000" w14:paraId="00000027">
      <w:pPr>
        <w:ind w:right="-1080" w:hanging="1080"/>
        <w:jc w:val="both"/>
        <w:rPr/>
      </w:pPr>
      <w:r w:rsidDel="00000000" w:rsidR="00000000" w:rsidRPr="00000000">
        <w:rPr>
          <w:rtl w:val="0"/>
        </w:rPr>
      </w:r>
    </w:p>
    <w:p w:rsidR="00000000" w:rsidDel="00000000" w:rsidP="00000000" w:rsidRDefault="00000000" w:rsidRPr="00000000" w14:paraId="00000028">
      <w:pPr>
        <w:ind w:right="-1080" w:hanging="1080"/>
        <w:jc w:val="both"/>
        <w:rPr/>
      </w:pPr>
      <w:r w:rsidDel="00000000" w:rsidR="00000000" w:rsidRPr="00000000">
        <w:rPr>
          <w:rtl w:val="0"/>
        </w:rPr>
        <w:tab/>
      </w:r>
    </w:p>
    <w:p w:rsidR="00000000" w:rsidDel="00000000" w:rsidP="00000000" w:rsidRDefault="00000000" w:rsidRPr="00000000" w14:paraId="00000029">
      <w:pPr>
        <w:ind w:right="-1080" w:hanging="1080"/>
        <w:jc w:val="both"/>
        <w:rPr/>
      </w:pPr>
      <w:r w:rsidDel="00000000" w:rsidR="00000000" w:rsidRPr="00000000">
        <w:rPr>
          <w:rtl w:val="0"/>
        </w:rPr>
      </w:r>
    </w:p>
    <w:p w:rsidR="00000000" w:rsidDel="00000000" w:rsidP="00000000" w:rsidRDefault="00000000" w:rsidRPr="00000000" w14:paraId="0000002A">
      <w:pPr>
        <w:ind w:right="-1080" w:hanging="1080"/>
        <w:jc w:val="both"/>
        <w:rPr/>
      </w:pPr>
      <w:r w:rsidDel="00000000" w:rsidR="00000000" w:rsidRPr="00000000">
        <w:rPr>
          <w:rtl w:val="0"/>
        </w:rPr>
      </w:r>
    </w:p>
    <w:p w:rsidR="00000000" w:rsidDel="00000000" w:rsidP="00000000" w:rsidRDefault="00000000" w:rsidRPr="00000000" w14:paraId="0000002B">
      <w:pPr>
        <w:ind w:right="-1080" w:hanging="1080"/>
        <w:jc w:val="both"/>
        <w:rPr/>
      </w:pPr>
      <w:r w:rsidDel="00000000" w:rsidR="00000000" w:rsidRPr="00000000">
        <w:rPr>
          <w:rtl w:val="0"/>
        </w:rPr>
      </w:r>
    </w:p>
    <w:p w:rsidR="00000000" w:rsidDel="00000000" w:rsidP="00000000" w:rsidRDefault="00000000" w:rsidRPr="00000000" w14:paraId="0000002C">
      <w:pPr>
        <w:ind w:right="-1080" w:hanging="1080"/>
        <w:jc w:val="both"/>
        <w:rPr/>
      </w:pPr>
      <w:r w:rsidDel="00000000" w:rsidR="00000000" w:rsidRPr="00000000">
        <w:rPr>
          <w:rtl w:val="0"/>
        </w:rPr>
      </w:r>
    </w:p>
    <w:p w:rsidR="00000000" w:rsidDel="00000000" w:rsidP="00000000" w:rsidRDefault="00000000" w:rsidRPr="00000000" w14:paraId="0000002D">
      <w:pPr>
        <w:ind w:right="-1080" w:hanging="1080"/>
        <w:jc w:val="both"/>
        <w:rPr/>
      </w:pPr>
      <w:r w:rsidDel="00000000" w:rsidR="00000000" w:rsidRPr="00000000">
        <w:rPr>
          <w:rtl w:val="0"/>
        </w:rPr>
      </w:r>
    </w:p>
    <w:p w:rsidR="00000000" w:rsidDel="00000000" w:rsidP="00000000" w:rsidRDefault="00000000" w:rsidRPr="00000000" w14:paraId="0000002E">
      <w:pPr>
        <w:ind w:right="-1080" w:hanging="1080"/>
        <w:jc w:val="both"/>
        <w:rPr/>
      </w:pPr>
      <w:r w:rsidDel="00000000" w:rsidR="00000000" w:rsidRPr="00000000">
        <w:rPr>
          <w:rtl w:val="0"/>
        </w:rPr>
      </w:r>
    </w:p>
    <w:p w:rsidR="00000000" w:rsidDel="00000000" w:rsidP="00000000" w:rsidRDefault="00000000" w:rsidRPr="00000000" w14:paraId="0000002F">
      <w:pPr>
        <w:ind w:right="-1080" w:hanging="1080"/>
        <w:jc w:val="both"/>
        <w:rPr/>
      </w:pPr>
      <w:r w:rsidDel="00000000" w:rsidR="00000000" w:rsidRPr="00000000">
        <w:rPr>
          <w:rtl w:val="0"/>
        </w:rPr>
      </w:r>
    </w:p>
    <w:p w:rsidR="00000000" w:rsidDel="00000000" w:rsidP="00000000" w:rsidRDefault="00000000" w:rsidRPr="00000000" w14:paraId="00000030">
      <w:pPr>
        <w:ind w:right="-1080" w:hanging="1080"/>
        <w:jc w:val="both"/>
        <w:rPr/>
      </w:pPr>
      <w:r w:rsidDel="00000000" w:rsidR="00000000" w:rsidRPr="00000000">
        <w:rPr>
          <w:rtl w:val="0"/>
        </w:rPr>
      </w:r>
    </w:p>
    <w:p w:rsidR="00000000" w:rsidDel="00000000" w:rsidP="00000000" w:rsidRDefault="00000000" w:rsidRPr="00000000" w14:paraId="00000031">
      <w:pPr>
        <w:ind w:right="-1080" w:hanging="108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223312</wp:posOffset>
            </wp:positionV>
            <wp:extent cx="4738688" cy="2938898"/>
            <wp:effectExtent b="0" l="0" r="0" t="0"/>
            <wp:wrapSquare wrapText="bothSides" distB="114300" distT="114300" distL="114300" distR="114300"/>
            <wp:docPr descr="Chart" id="3" name="image5.png"/>
            <a:graphic>
              <a:graphicData uri="http://schemas.openxmlformats.org/drawingml/2006/picture">
                <pic:pic>
                  <pic:nvPicPr>
                    <pic:cNvPr descr="Chart" id="0" name="image5.png"/>
                    <pic:cNvPicPr preferRelativeResize="0"/>
                  </pic:nvPicPr>
                  <pic:blipFill>
                    <a:blip r:embed="rId10"/>
                    <a:srcRect b="0" l="0" r="0" t="0"/>
                    <a:stretch>
                      <a:fillRect/>
                    </a:stretch>
                  </pic:blipFill>
                  <pic:spPr>
                    <a:xfrm>
                      <a:off x="0" y="0"/>
                      <a:ext cx="4738688" cy="2938898"/>
                    </a:xfrm>
                    <a:prstGeom prst="rect"/>
                    <a:ln/>
                  </pic:spPr>
                </pic:pic>
              </a:graphicData>
            </a:graphic>
          </wp:anchor>
        </w:drawing>
      </w:r>
    </w:p>
    <w:p w:rsidR="00000000" w:rsidDel="00000000" w:rsidP="00000000" w:rsidRDefault="00000000" w:rsidRPr="00000000" w14:paraId="00000032">
      <w:pPr>
        <w:ind w:right="-1080" w:hanging="1080"/>
        <w:jc w:val="both"/>
        <w:rPr/>
      </w:pPr>
      <w:r w:rsidDel="00000000" w:rsidR="00000000" w:rsidRPr="00000000">
        <w:rPr>
          <w:rtl w:val="0"/>
        </w:rPr>
      </w:r>
    </w:p>
    <w:p w:rsidR="00000000" w:rsidDel="00000000" w:rsidP="00000000" w:rsidRDefault="00000000" w:rsidRPr="00000000" w14:paraId="00000033">
      <w:pPr>
        <w:ind w:right="-1080" w:hanging="1080"/>
        <w:jc w:val="both"/>
        <w:rPr/>
      </w:pPr>
      <w:r w:rsidDel="00000000" w:rsidR="00000000" w:rsidRPr="00000000">
        <w:rPr>
          <w:rtl w:val="0"/>
        </w:rPr>
      </w:r>
    </w:p>
    <w:p w:rsidR="00000000" w:rsidDel="00000000" w:rsidP="00000000" w:rsidRDefault="00000000" w:rsidRPr="00000000" w14:paraId="00000034">
      <w:pPr>
        <w:ind w:right="-1080" w:hanging="1080"/>
        <w:jc w:val="both"/>
        <w:rPr/>
      </w:pPr>
      <w:r w:rsidDel="00000000" w:rsidR="00000000" w:rsidRPr="00000000">
        <w:rPr>
          <w:rtl w:val="0"/>
        </w:rPr>
        <w:tab/>
        <w:t xml:space="preserve">However looking at total revenue we see that office supplies, cosmetics and household items make up</w:t>
      </w:r>
      <w:r w:rsidDel="00000000" w:rsidR="00000000" w:rsidRPr="00000000">
        <w:rPr>
          <w:b w:val="1"/>
          <w:bCs w:val="1"/>
          <w:rtl w:val="0"/>
        </w:rPr>
        <w:t xml:space="preserve"> 61% </w:t>
      </w:r>
      <w:r w:rsidDel="00000000" w:rsidR="00000000" w:rsidRPr="00000000">
        <w:rPr>
          <w:rtl w:val="0"/>
        </w:rPr>
        <w:t xml:space="preserve">of total yearly revenue.</w:t>
      </w:r>
    </w:p>
    <w:p w:rsidR="00000000" w:rsidDel="00000000" w:rsidP="00000000" w:rsidRDefault="00000000" w:rsidRPr="00000000" w14:paraId="00000035">
      <w:pPr>
        <w:ind w:right="-1080" w:hanging="1080"/>
        <w:jc w:val="both"/>
        <w:rPr/>
      </w:pPr>
      <w:r w:rsidDel="00000000" w:rsidR="00000000" w:rsidRPr="00000000">
        <w:rPr>
          <w:rtl w:val="0"/>
        </w:rPr>
      </w:r>
    </w:p>
    <w:p w:rsidR="00000000" w:rsidDel="00000000" w:rsidP="00000000" w:rsidRDefault="00000000" w:rsidRPr="00000000" w14:paraId="00000036">
      <w:pPr>
        <w:ind w:right="-1080" w:hanging="1080"/>
        <w:jc w:val="both"/>
        <w:rPr/>
      </w:pPr>
      <w:r w:rsidDel="00000000" w:rsidR="00000000" w:rsidRPr="00000000">
        <w:rPr>
          <w:rtl w:val="0"/>
        </w:rPr>
      </w:r>
    </w:p>
    <w:p w:rsidR="00000000" w:rsidDel="00000000" w:rsidP="00000000" w:rsidRDefault="00000000" w:rsidRPr="00000000" w14:paraId="00000037">
      <w:pPr>
        <w:ind w:right="-1080" w:hanging="1080"/>
        <w:jc w:val="both"/>
        <w:rPr/>
      </w:pPr>
      <w:r w:rsidDel="00000000" w:rsidR="00000000" w:rsidRPr="00000000">
        <w:rPr>
          <w:rtl w:val="0"/>
        </w:rPr>
      </w:r>
    </w:p>
    <w:p w:rsidR="00000000" w:rsidDel="00000000" w:rsidP="00000000" w:rsidRDefault="00000000" w:rsidRPr="00000000" w14:paraId="00000038">
      <w:pPr>
        <w:ind w:right="-1080" w:hanging="1080"/>
        <w:jc w:val="both"/>
        <w:rPr/>
      </w:pPr>
      <w:r w:rsidDel="00000000" w:rsidR="00000000" w:rsidRPr="00000000">
        <w:rPr>
          <w:rtl w:val="0"/>
        </w:rPr>
      </w:r>
    </w:p>
    <w:p w:rsidR="00000000" w:rsidDel="00000000" w:rsidP="00000000" w:rsidRDefault="00000000" w:rsidRPr="00000000" w14:paraId="00000039">
      <w:pPr>
        <w:ind w:right="-1080" w:hanging="1080"/>
        <w:jc w:val="both"/>
        <w:rPr/>
      </w:pPr>
      <w:r w:rsidDel="00000000" w:rsidR="00000000" w:rsidRPr="00000000">
        <w:rPr>
          <w:rtl w:val="0"/>
        </w:rPr>
      </w:r>
    </w:p>
    <w:p w:rsidR="00000000" w:rsidDel="00000000" w:rsidP="00000000" w:rsidRDefault="00000000" w:rsidRPr="00000000" w14:paraId="0000003A">
      <w:pPr>
        <w:ind w:right="-1080" w:hanging="1080"/>
        <w:jc w:val="both"/>
        <w:rPr/>
      </w:pPr>
      <w:r w:rsidDel="00000000" w:rsidR="00000000" w:rsidRPr="00000000">
        <w:rPr>
          <w:rtl w:val="0"/>
        </w:rPr>
      </w:r>
    </w:p>
    <w:p w:rsidR="00000000" w:rsidDel="00000000" w:rsidP="00000000" w:rsidRDefault="00000000" w:rsidRPr="00000000" w14:paraId="0000003B">
      <w:pPr>
        <w:ind w:right="-1080" w:hanging="1080"/>
        <w:jc w:val="both"/>
        <w:rPr/>
      </w:pPr>
      <w:r w:rsidDel="00000000" w:rsidR="00000000" w:rsidRPr="00000000">
        <w:rPr>
          <w:rtl w:val="0"/>
        </w:rPr>
      </w:r>
    </w:p>
    <w:p w:rsidR="00000000" w:rsidDel="00000000" w:rsidP="00000000" w:rsidRDefault="00000000" w:rsidRPr="00000000" w14:paraId="0000003C">
      <w:pPr>
        <w:ind w:right="-1080" w:hanging="1080"/>
        <w:jc w:val="both"/>
        <w:rPr/>
      </w:pPr>
      <w:r w:rsidDel="00000000" w:rsidR="00000000" w:rsidRPr="00000000">
        <w:rPr>
          <w:rtl w:val="0"/>
        </w:rPr>
      </w:r>
    </w:p>
    <w:p w:rsidR="00000000" w:rsidDel="00000000" w:rsidP="00000000" w:rsidRDefault="00000000" w:rsidRPr="00000000" w14:paraId="0000003D">
      <w:pPr>
        <w:ind w:right="-1080" w:hanging="1080"/>
        <w:jc w:val="both"/>
        <w:rPr/>
      </w:pPr>
      <w:r w:rsidDel="00000000" w:rsidR="00000000" w:rsidRPr="00000000">
        <w:rPr>
          <w:rtl w:val="0"/>
        </w:rPr>
      </w:r>
    </w:p>
    <w:p w:rsidR="00000000" w:rsidDel="00000000" w:rsidP="00000000" w:rsidRDefault="00000000" w:rsidRPr="00000000" w14:paraId="0000003E">
      <w:pPr>
        <w:ind w:right="-1080" w:hanging="1080"/>
        <w:jc w:val="both"/>
        <w:rPr/>
      </w:pPr>
      <w:r w:rsidDel="00000000" w:rsidR="00000000" w:rsidRPr="00000000">
        <w:rPr>
          <w:rtl w:val="0"/>
        </w:rPr>
      </w:r>
    </w:p>
    <w:p w:rsidR="00000000" w:rsidDel="00000000" w:rsidP="00000000" w:rsidRDefault="00000000" w:rsidRPr="00000000" w14:paraId="0000003F">
      <w:pPr>
        <w:ind w:right="-1080" w:hanging="1080"/>
        <w:jc w:val="both"/>
        <w:rPr/>
      </w:pPr>
      <w:r w:rsidDel="00000000" w:rsidR="00000000" w:rsidRPr="00000000">
        <w:rPr>
          <w:rtl w:val="0"/>
        </w:rPr>
      </w:r>
    </w:p>
    <w:p w:rsidR="00000000" w:rsidDel="00000000" w:rsidP="00000000" w:rsidRDefault="00000000" w:rsidRPr="00000000" w14:paraId="00000040">
      <w:pPr>
        <w:ind w:right="-1080" w:hanging="1080"/>
        <w:jc w:val="both"/>
        <w:rPr/>
      </w:pPr>
      <w:r w:rsidDel="00000000" w:rsidR="00000000" w:rsidRPr="00000000">
        <w:rPr>
          <w:rtl w:val="0"/>
        </w:rPr>
      </w:r>
    </w:p>
    <w:p w:rsidR="00000000" w:rsidDel="00000000" w:rsidP="00000000" w:rsidRDefault="00000000" w:rsidRPr="00000000" w14:paraId="00000041">
      <w:pPr>
        <w:ind w:right="-1080" w:hanging="1080"/>
        <w:jc w:val="both"/>
        <w:rPr/>
      </w:pPr>
      <w:r w:rsidDel="00000000" w:rsidR="00000000" w:rsidRPr="00000000">
        <w:rPr>
          <w:rtl w:val="0"/>
        </w:rPr>
      </w:r>
    </w:p>
    <w:p w:rsidR="00000000" w:rsidDel="00000000" w:rsidP="00000000" w:rsidRDefault="00000000" w:rsidRPr="00000000" w14:paraId="00000042">
      <w:pPr>
        <w:ind w:right="-1080" w:hanging="1080"/>
        <w:jc w:val="both"/>
        <w:rPr/>
      </w:pPr>
      <w:r w:rsidDel="00000000" w:rsidR="00000000" w:rsidRPr="00000000">
        <w:rPr>
          <w:rtl w:val="0"/>
        </w:rPr>
      </w:r>
    </w:p>
    <w:p w:rsidR="00000000" w:rsidDel="00000000" w:rsidP="00000000" w:rsidRDefault="00000000" w:rsidRPr="00000000" w14:paraId="00000043">
      <w:pPr>
        <w:ind w:right="-1080" w:hanging="1080"/>
        <w:jc w:val="both"/>
        <w:rPr/>
      </w:pPr>
      <w:r w:rsidDel="00000000" w:rsidR="00000000" w:rsidRPr="00000000">
        <w:rPr>
          <w:rtl w:val="0"/>
        </w:rPr>
      </w:r>
    </w:p>
    <w:p w:rsidR="00000000" w:rsidDel="00000000" w:rsidP="00000000" w:rsidRDefault="00000000" w:rsidRPr="00000000" w14:paraId="00000044">
      <w:pPr>
        <w:ind w:right="-1080" w:hanging="1080"/>
        <w:jc w:val="both"/>
        <w:rPr/>
      </w:pPr>
      <w:r w:rsidDel="00000000" w:rsidR="00000000" w:rsidRPr="00000000">
        <w:rPr>
          <w:rtl w:val="0"/>
        </w:rPr>
      </w:r>
    </w:p>
    <w:p w:rsidR="00000000" w:rsidDel="00000000" w:rsidP="00000000" w:rsidRDefault="00000000" w:rsidRPr="00000000" w14:paraId="00000045">
      <w:pPr>
        <w:ind w:right="-1080" w:hanging="1080"/>
        <w:jc w:val="both"/>
        <w:rPr/>
      </w:pPr>
      <w:r w:rsidDel="00000000" w:rsidR="00000000" w:rsidRPr="00000000">
        <w:rPr>
          <w:rtl w:val="0"/>
        </w:rPr>
        <w:tab/>
        <w:tab/>
        <w:tab/>
        <w:tab/>
        <w:tab/>
        <w:tab/>
        <w:tab/>
        <w:t xml:space="preserve">And when looking at the total yearly profit we see that office supplies, cosmetics and household items make up </w:t>
      </w:r>
      <w:r w:rsidDel="00000000" w:rsidR="00000000" w:rsidRPr="00000000">
        <w:rPr>
          <w:b w:val="1"/>
          <w:bCs w:val="1"/>
          <w:rtl w:val="0"/>
        </w:rPr>
        <w:t xml:space="preserve">90%</w:t>
      </w:r>
      <w:r w:rsidDel="00000000" w:rsidR="00000000" w:rsidRPr="00000000">
        <w:rPr>
          <w:rtl w:val="0"/>
        </w:rPr>
        <w:t xml:space="preserve"> of total yearly profits.</w:t>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114300</wp:posOffset>
            </wp:positionV>
            <wp:extent cx="4461540" cy="2768600"/>
            <wp:effectExtent b="0" l="0" r="0" t="0"/>
            <wp:wrapSquare wrapText="bothSides" distB="114300" distT="114300" distL="114300" distR="114300"/>
            <wp:docPr descr="Chart" id="1" name="image2.png"/>
            <a:graphic>
              <a:graphicData uri="http://schemas.openxmlformats.org/drawingml/2006/picture">
                <pic:pic>
                  <pic:nvPicPr>
                    <pic:cNvPr descr="Chart" id="0" name="image2.png"/>
                    <pic:cNvPicPr preferRelativeResize="0"/>
                  </pic:nvPicPr>
                  <pic:blipFill>
                    <a:blip r:embed="rId11"/>
                    <a:srcRect b="0" l="0" r="0" t="0"/>
                    <a:stretch>
                      <a:fillRect/>
                    </a:stretch>
                  </pic:blipFill>
                  <pic:spPr>
                    <a:xfrm>
                      <a:off x="0" y="0"/>
                      <a:ext cx="4461540" cy="2768600"/>
                    </a:xfrm>
                    <a:prstGeom prst="rect"/>
                    <a:ln/>
                  </pic:spPr>
                </pic:pic>
              </a:graphicData>
            </a:graphic>
          </wp:anchor>
        </w:drawing>
      </w:r>
    </w:p>
    <w:p w:rsidR="00000000" w:rsidDel="00000000" w:rsidP="00000000" w:rsidRDefault="00000000" w:rsidRPr="00000000" w14:paraId="00000046">
      <w:pPr>
        <w:ind w:right="-1080" w:hanging="1080"/>
        <w:jc w:val="both"/>
        <w:rPr/>
      </w:pPr>
      <w:r w:rsidDel="00000000" w:rsidR="00000000" w:rsidRPr="00000000">
        <w:rPr>
          <w:rtl w:val="0"/>
        </w:rPr>
      </w:r>
    </w:p>
    <w:p w:rsidR="00000000" w:rsidDel="00000000" w:rsidP="00000000" w:rsidRDefault="00000000" w:rsidRPr="00000000" w14:paraId="00000047">
      <w:pPr>
        <w:ind w:right="-1080" w:hanging="1080"/>
        <w:jc w:val="both"/>
        <w:rPr/>
      </w:pPr>
      <w:r w:rsidDel="00000000" w:rsidR="00000000" w:rsidRPr="00000000">
        <w:rPr>
          <w:rtl w:val="0"/>
        </w:rPr>
      </w:r>
    </w:p>
    <w:p w:rsidR="00000000" w:rsidDel="00000000" w:rsidP="00000000" w:rsidRDefault="00000000" w:rsidRPr="00000000" w14:paraId="00000048">
      <w:pPr>
        <w:ind w:right="-1080" w:hanging="1080"/>
        <w:jc w:val="both"/>
        <w:rPr/>
      </w:pPr>
      <w:r w:rsidDel="00000000" w:rsidR="00000000" w:rsidRPr="00000000">
        <w:rPr>
          <w:rtl w:val="0"/>
        </w:rPr>
      </w:r>
    </w:p>
    <w:p w:rsidR="00000000" w:rsidDel="00000000" w:rsidP="00000000" w:rsidRDefault="00000000" w:rsidRPr="00000000" w14:paraId="00000049">
      <w:pPr>
        <w:ind w:right="-1080" w:hanging="1080"/>
        <w:jc w:val="both"/>
        <w:rPr/>
      </w:pPr>
      <w:r w:rsidDel="00000000" w:rsidR="00000000" w:rsidRPr="00000000">
        <w:rPr>
          <w:rtl w:val="0"/>
        </w:rPr>
      </w:r>
    </w:p>
    <w:p w:rsidR="00000000" w:rsidDel="00000000" w:rsidP="00000000" w:rsidRDefault="00000000" w:rsidRPr="00000000" w14:paraId="0000004A">
      <w:pPr>
        <w:ind w:right="-1080" w:hanging="1080"/>
        <w:jc w:val="both"/>
        <w:rPr/>
      </w:pPr>
      <w:r w:rsidDel="00000000" w:rsidR="00000000" w:rsidRPr="00000000">
        <w:rPr>
          <w:rtl w:val="0"/>
        </w:rPr>
      </w:r>
    </w:p>
    <w:p w:rsidR="00000000" w:rsidDel="00000000" w:rsidP="00000000" w:rsidRDefault="00000000" w:rsidRPr="00000000" w14:paraId="0000004B">
      <w:pPr>
        <w:ind w:right="-1080" w:hanging="1080"/>
        <w:jc w:val="both"/>
        <w:rPr/>
      </w:pPr>
      <w:r w:rsidDel="00000000" w:rsidR="00000000" w:rsidRPr="00000000">
        <w:rPr>
          <w:rtl w:val="0"/>
        </w:rPr>
      </w:r>
    </w:p>
    <w:p w:rsidR="00000000" w:rsidDel="00000000" w:rsidP="00000000" w:rsidRDefault="00000000" w:rsidRPr="00000000" w14:paraId="0000004C">
      <w:pPr>
        <w:ind w:right="-1080" w:hanging="1080"/>
        <w:jc w:val="both"/>
        <w:rPr/>
      </w:pPr>
      <w:r w:rsidDel="00000000" w:rsidR="00000000" w:rsidRPr="00000000">
        <w:rPr>
          <w:rtl w:val="0"/>
        </w:rPr>
      </w:r>
    </w:p>
    <w:p w:rsidR="00000000" w:rsidDel="00000000" w:rsidP="00000000" w:rsidRDefault="00000000" w:rsidRPr="00000000" w14:paraId="0000004D">
      <w:pPr>
        <w:ind w:right="-1080" w:hanging="1080"/>
        <w:jc w:val="both"/>
        <w:rPr/>
      </w:pPr>
      <w:r w:rsidDel="00000000" w:rsidR="00000000" w:rsidRPr="00000000">
        <w:rPr>
          <w:rtl w:val="0"/>
        </w:rPr>
      </w:r>
    </w:p>
    <w:p w:rsidR="00000000" w:rsidDel="00000000" w:rsidP="00000000" w:rsidRDefault="00000000" w:rsidRPr="00000000" w14:paraId="0000004E">
      <w:pPr>
        <w:ind w:right="-1080" w:hanging="1080"/>
        <w:jc w:val="both"/>
        <w:rPr/>
      </w:pPr>
      <w:r w:rsidDel="00000000" w:rsidR="00000000" w:rsidRPr="00000000">
        <w:rPr>
          <w:rtl w:val="0"/>
        </w:rPr>
      </w:r>
    </w:p>
    <w:p w:rsidR="00000000" w:rsidDel="00000000" w:rsidP="00000000" w:rsidRDefault="00000000" w:rsidRPr="00000000" w14:paraId="0000004F">
      <w:pPr>
        <w:ind w:right="-1080" w:hanging="1080"/>
        <w:jc w:val="both"/>
        <w:rPr/>
      </w:pPr>
      <w:r w:rsidDel="00000000" w:rsidR="00000000" w:rsidRPr="00000000">
        <w:rPr>
          <w:rtl w:val="0"/>
        </w:rPr>
      </w:r>
    </w:p>
    <w:p w:rsidR="00000000" w:rsidDel="00000000" w:rsidP="00000000" w:rsidRDefault="00000000" w:rsidRPr="00000000" w14:paraId="00000050">
      <w:pPr>
        <w:ind w:right="-1080" w:hanging="1080"/>
        <w:jc w:val="both"/>
        <w:rPr/>
      </w:pPr>
      <w:r w:rsidDel="00000000" w:rsidR="00000000" w:rsidRPr="00000000">
        <w:rPr>
          <w:rtl w:val="0"/>
        </w:rPr>
      </w:r>
    </w:p>
    <w:p w:rsidR="00000000" w:rsidDel="00000000" w:rsidP="00000000" w:rsidRDefault="00000000" w:rsidRPr="00000000" w14:paraId="00000051">
      <w:pPr>
        <w:ind w:right="-1080" w:hanging="1080"/>
        <w:jc w:val="both"/>
        <w:rPr/>
      </w:pPr>
      <w:r w:rsidDel="00000000" w:rsidR="00000000" w:rsidRPr="00000000">
        <w:rPr>
          <w:rtl w:val="0"/>
        </w:rPr>
      </w:r>
    </w:p>
    <w:p w:rsidR="00000000" w:rsidDel="00000000" w:rsidP="00000000" w:rsidRDefault="00000000" w:rsidRPr="00000000" w14:paraId="00000052">
      <w:pPr>
        <w:ind w:right="-1080" w:hanging="1080"/>
        <w:jc w:val="both"/>
        <w:rPr/>
      </w:pPr>
      <w:r w:rsidDel="00000000" w:rsidR="00000000" w:rsidRPr="00000000">
        <w:rPr>
          <w:rtl w:val="0"/>
        </w:rPr>
        <w:tab/>
        <w:t xml:space="preserve">As the data for perishable items suggests massive losses, due to market trends and high costs, coupled with average sales figures and the sales data suggest a shift towards non-perishable daily use personal items, this report concludes that a stronger focus should be put towards those product categories looking to reduce possible costs and increase visibility, while striving to diminish the losses on perishable items, perhaps by under-stocking them.</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t xml:space="preserve">Link for full sheets workbook -</w:t>
    </w:r>
    <w:hyperlink r:id="rId1">
      <w:r w:rsidDel="00000000" w:rsidR="00000000" w:rsidRPr="00000000">
        <w:rPr>
          <w:color w:val="0000ee"/>
          <w:u w:val="single"/>
          <w:rtl w:val="0"/>
        </w:rPr>
        <w:t xml:space="preserve">Data analytics - Sheets project</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hyperlink" Target="https://docs.google.com/spreadsheets/d/1uM1Yms3mpKqNN74TZ5qGsmmUTcniKsbY27gmM1x1Zt0/edit?gid=884162661#gid=884162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