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54F" w:rsidRPr="003F454F" w:rsidRDefault="003F454F" w:rsidP="003F454F">
      <w:pPr>
        <w:pStyle w:val="Subtitle"/>
        <w:rPr>
          <w:rFonts w:asciiTheme="minorHAnsi" w:hAnsiTheme="minorHAnsi" w:cstheme="minorHAnsi"/>
        </w:rPr>
      </w:pPr>
      <w:r w:rsidRPr="003F454F">
        <w:rPr>
          <w:rFonts w:asciiTheme="minorHAnsi" w:hAnsiTheme="minorHAnsi" w:cstheme="minorHAnsi"/>
        </w:rPr>
        <w:t>Projet Industriel 2016-2017 – Souscription d’assurance par tablette tactile </w:t>
      </w:r>
    </w:p>
    <w:p w:rsidR="003F454F" w:rsidRDefault="003F454F" w:rsidP="00B47CB9">
      <w:pPr>
        <w:pStyle w:val="Subtitle"/>
        <w:rPr>
          <w:rFonts w:asciiTheme="minorHAnsi" w:hAnsiTheme="minorHAnsi" w:cstheme="minorHAnsi"/>
        </w:rPr>
      </w:pPr>
      <w:r w:rsidRPr="003F454F">
        <w:rPr>
          <w:rFonts w:asciiTheme="minorHAnsi" w:hAnsiTheme="minorHAnsi" w:cstheme="minorHAnsi"/>
        </w:rPr>
        <w:t xml:space="preserve">Université d’Orléans </w:t>
      </w:r>
      <w:r>
        <w:rPr>
          <w:rFonts w:asciiTheme="minorHAnsi" w:hAnsiTheme="minorHAnsi" w:cstheme="minorHAnsi"/>
        </w:rPr>
        <w:t>–</w:t>
      </w:r>
      <w:r w:rsidRPr="003F454F">
        <w:rPr>
          <w:rFonts w:asciiTheme="minorHAnsi" w:hAnsiTheme="minorHAnsi" w:cstheme="minorHAnsi"/>
        </w:rPr>
        <w:t xml:space="preserve"> Atos</w:t>
      </w:r>
    </w:p>
    <w:p w:rsidR="00B47CB9" w:rsidRDefault="00B47CB9" w:rsidP="00B47CB9"/>
    <w:p w:rsidR="006E158A" w:rsidRDefault="006E158A" w:rsidP="00B47CB9"/>
    <w:p w:rsidR="006E158A" w:rsidRDefault="006E158A" w:rsidP="00B47CB9"/>
    <w:p w:rsidR="006E158A" w:rsidRDefault="006E158A" w:rsidP="00B47CB9"/>
    <w:p w:rsidR="006E158A" w:rsidRDefault="006E158A" w:rsidP="00B47CB9"/>
    <w:p w:rsidR="006E158A" w:rsidRDefault="006E158A" w:rsidP="00B47CB9"/>
    <w:p w:rsidR="00B47CB9" w:rsidRPr="00B47CB9" w:rsidRDefault="00B47CB9" w:rsidP="00B47CB9"/>
    <w:p w:rsidR="003F454F" w:rsidRPr="00B47CB9" w:rsidRDefault="00B47CB9" w:rsidP="00B47CB9">
      <w:pPr>
        <w:pStyle w:val="Title"/>
        <w:jc w:val="center"/>
      </w:pPr>
      <w:r>
        <w:t>Dossier d’architecture technique</w:t>
      </w:r>
    </w:p>
    <w:p w:rsidR="0009388F" w:rsidRDefault="00402D57" w:rsidP="003F454F">
      <w:pPr>
        <w:pStyle w:val="Subtitle"/>
      </w:pPr>
    </w:p>
    <w:p w:rsidR="006E158A" w:rsidRDefault="006E158A" w:rsidP="006E158A"/>
    <w:p w:rsidR="006E158A" w:rsidRDefault="006E158A" w:rsidP="006E158A"/>
    <w:p w:rsidR="006E158A" w:rsidRDefault="006E158A" w:rsidP="006E158A"/>
    <w:p w:rsidR="006E158A" w:rsidRPr="006E158A" w:rsidRDefault="006E158A" w:rsidP="006E158A"/>
    <w:p w:rsidR="00D40188" w:rsidRDefault="00D40188" w:rsidP="00D40188"/>
    <w:p w:rsidR="00D40188" w:rsidRDefault="00D40188" w:rsidP="00D40188"/>
    <w:tbl>
      <w:tblPr>
        <w:tblStyle w:val="TableGrid"/>
        <w:tblW w:w="0" w:type="auto"/>
        <w:tblLook w:val="04A0" w:firstRow="1" w:lastRow="0" w:firstColumn="1" w:lastColumn="0" w:noHBand="0" w:noVBand="1"/>
      </w:tblPr>
      <w:tblGrid>
        <w:gridCol w:w="2303"/>
        <w:gridCol w:w="2303"/>
        <w:gridCol w:w="2303"/>
        <w:gridCol w:w="2303"/>
      </w:tblGrid>
      <w:tr w:rsidR="00115E1A" w:rsidTr="00115E1A">
        <w:tc>
          <w:tcPr>
            <w:tcW w:w="2303" w:type="dxa"/>
          </w:tcPr>
          <w:p w:rsidR="00115E1A" w:rsidRDefault="00115E1A" w:rsidP="00D40188">
            <w:r>
              <w:t>Version</w:t>
            </w:r>
          </w:p>
        </w:tc>
        <w:tc>
          <w:tcPr>
            <w:tcW w:w="2303" w:type="dxa"/>
          </w:tcPr>
          <w:p w:rsidR="00115E1A" w:rsidRDefault="00115E1A" w:rsidP="00D40188">
            <w:r>
              <w:t>Date</w:t>
            </w:r>
          </w:p>
        </w:tc>
        <w:tc>
          <w:tcPr>
            <w:tcW w:w="2303" w:type="dxa"/>
          </w:tcPr>
          <w:p w:rsidR="00115E1A" w:rsidRDefault="00115E1A" w:rsidP="00D40188">
            <w:r>
              <w:t>Auteur</w:t>
            </w:r>
          </w:p>
        </w:tc>
        <w:tc>
          <w:tcPr>
            <w:tcW w:w="2303" w:type="dxa"/>
          </w:tcPr>
          <w:p w:rsidR="00115E1A" w:rsidRDefault="00115E1A" w:rsidP="00D40188">
            <w:r>
              <w:t>Libellé</w:t>
            </w:r>
          </w:p>
        </w:tc>
      </w:tr>
      <w:tr w:rsidR="00115E1A" w:rsidTr="00115E1A">
        <w:tc>
          <w:tcPr>
            <w:tcW w:w="2303" w:type="dxa"/>
          </w:tcPr>
          <w:p w:rsidR="00115E1A" w:rsidRDefault="00115E1A" w:rsidP="00D40188">
            <w:r>
              <w:t>1.0</w:t>
            </w:r>
          </w:p>
        </w:tc>
        <w:tc>
          <w:tcPr>
            <w:tcW w:w="2303" w:type="dxa"/>
          </w:tcPr>
          <w:p w:rsidR="00115E1A" w:rsidRDefault="00115E1A" w:rsidP="00D40188">
            <w:r>
              <w:t>30/12/2016</w:t>
            </w:r>
          </w:p>
        </w:tc>
        <w:tc>
          <w:tcPr>
            <w:tcW w:w="2303" w:type="dxa"/>
          </w:tcPr>
          <w:p w:rsidR="00115E1A" w:rsidRDefault="00115E1A" w:rsidP="00D40188">
            <w:r>
              <w:t>Vincent Montigny</w:t>
            </w:r>
          </w:p>
        </w:tc>
        <w:tc>
          <w:tcPr>
            <w:tcW w:w="2303" w:type="dxa"/>
          </w:tcPr>
          <w:p w:rsidR="00115E1A" w:rsidRDefault="00115E1A" w:rsidP="00D40188">
            <w:r>
              <w:t>Première version simple</w:t>
            </w:r>
          </w:p>
        </w:tc>
      </w:tr>
      <w:tr w:rsidR="00864E97" w:rsidTr="00115E1A">
        <w:tc>
          <w:tcPr>
            <w:tcW w:w="2303" w:type="dxa"/>
          </w:tcPr>
          <w:p w:rsidR="00864E97" w:rsidRDefault="00864E97" w:rsidP="00D40188">
            <w:r>
              <w:t>1.1</w:t>
            </w:r>
          </w:p>
        </w:tc>
        <w:tc>
          <w:tcPr>
            <w:tcW w:w="2303" w:type="dxa"/>
          </w:tcPr>
          <w:p w:rsidR="00864E97" w:rsidRDefault="00864E97" w:rsidP="00D40188">
            <w:r>
              <w:t>13/01/2017</w:t>
            </w:r>
          </w:p>
        </w:tc>
        <w:tc>
          <w:tcPr>
            <w:tcW w:w="2303" w:type="dxa"/>
          </w:tcPr>
          <w:p w:rsidR="00864E97" w:rsidRDefault="00864E97" w:rsidP="00D40188">
            <w:r>
              <w:t>Vincent Montigny</w:t>
            </w:r>
          </w:p>
        </w:tc>
        <w:tc>
          <w:tcPr>
            <w:tcW w:w="2303" w:type="dxa"/>
          </w:tcPr>
          <w:p w:rsidR="00864E97" w:rsidRDefault="00864E97" w:rsidP="00D40188">
            <w:r>
              <w:t>Plus de précision</w:t>
            </w:r>
          </w:p>
        </w:tc>
      </w:tr>
    </w:tbl>
    <w:p w:rsidR="00D40188" w:rsidRPr="00D40188" w:rsidRDefault="00D40188" w:rsidP="00D40188"/>
    <w:p w:rsidR="00D40188" w:rsidRDefault="00D40188" w:rsidP="00B97DF8">
      <w:pPr>
        <w:pStyle w:val="Heading1"/>
      </w:pPr>
      <w:r>
        <w:lastRenderedPageBreak/>
        <w:t>Introduction</w:t>
      </w:r>
    </w:p>
    <w:p w:rsidR="00D40188" w:rsidRDefault="00D40188" w:rsidP="00D40188"/>
    <w:p w:rsidR="00D40188" w:rsidRDefault="00D40188" w:rsidP="00D40188">
      <w:pPr>
        <w:ind w:firstLine="360"/>
      </w:pPr>
      <w:r>
        <w:t xml:space="preserve">Ce document a pour but de présenter l’architecture applicative de la solution proposée. Cette solution comporte, comme présenté dans les différentes SFD, deux applications distinctes, une pour client mobile et une pour client siège, les deux pouvant synchroniser leurs informations. Ce document présentera l’architecture applicative globale, puis détaillera </w:t>
      </w:r>
      <w:r w:rsidR="00310DC6">
        <w:t>ses composants.</w:t>
      </w:r>
    </w:p>
    <w:p w:rsidR="00D40188" w:rsidRPr="00D40188" w:rsidRDefault="00D40188" w:rsidP="00D40188">
      <w:pPr>
        <w:ind w:firstLine="360"/>
      </w:pPr>
      <w:r>
        <w:t>Il présentera ensuite les outils utilisés pour la réalisation de la solution</w:t>
      </w:r>
      <w:r w:rsidR="006E158A">
        <w:t>.</w:t>
      </w:r>
    </w:p>
    <w:p w:rsidR="00B97DF8" w:rsidRDefault="00B97DF8" w:rsidP="00B97DF8">
      <w:pPr>
        <w:pStyle w:val="Heading1"/>
      </w:pPr>
      <w:r>
        <w:lastRenderedPageBreak/>
        <w:t>Architecture applicative</w:t>
      </w:r>
    </w:p>
    <w:p w:rsidR="00310DC6" w:rsidRPr="00310DC6" w:rsidRDefault="00310DC6" w:rsidP="00310DC6"/>
    <w:p w:rsidR="00D40188" w:rsidRDefault="00310DC6" w:rsidP="00D40188">
      <w:pPr>
        <w:pStyle w:val="Heading2"/>
      </w:pPr>
      <w:r>
        <w:rPr>
          <w:noProof/>
          <w:lang w:eastAsia="fr-FR"/>
        </w:rPr>
        <w:drawing>
          <wp:anchor distT="0" distB="0" distL="114300" distR="114300" simplePos="0" relativeHeight="251662336" behindDoc="0" locked="0" layoutInCell="1" allowOverlap="1" wp14:anchorId="27103537" wp14:editId="33D659A5">
            <wp:simplePos x="0" y="0"/>
            <wp:positionH relativeFrom="column">
              <wp:posOffset>-716915</wp:posOffset>
            </wp:positionH>
            <wp:positionV relativeFrom="paragraph">
              <wp:posOffset>671195</wp:posOffset>
            </wp:positionV>
            <wp:extent cx="7033260" cy="3810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 applicativ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33260" cy="3810635"/>
                    </a:xfrm>
                    <a:prstGeom prst="rect">
                      <a:avLst/>
                    </a:prstGeom>
                  </pic:spPr>
                </pic:pic>
              </a:graphicData>
            </a:graphic>
            <wp14:sizeRelH relativeFrom="margin">
              <wp14:pctWidth>0</wp14:pctWidth>
            </wp14:sizeRelH>
            <wp14:sizeRelV relativeFrom="margin">
              <wp14:pctHeight>0</wp14:pctHeight>
            </wp14:sizeRelV>
          </wp:anchor>
        </w:drawing>
      </w:r>
      <w:r w:rsidR="00115E1A">
        <w:rPr>
          <w:noProof/>
          <w:lang w:eastAsia="fr-FR"/>
        </w:rPr>
        <mc:AlternateContent>
          <mc:Choice Requires="wps">
            <w:drawing>
              <wp:anchor distT="0" distB="0" distL="114300" distR="114300" simplePos="0" relativeHeight="251661312" behindDoc="0" locked="0" layoutInCell="1" allowOverlap="1" wp14:anchorId="6EC67FC9" wp14:editId="502142E5">
                <wp:simplePos x="0" y="0"/>
                <wp:positionH relativeFrom="column">
                  <wp:posOffset>-715645</wp:posOffset>
                </wp:positionH>
                <wp:positionV relativeFrom="paragraph">
                  <wp:posOffset>4493895</wp:posOffset>
                </wp:positionV>
                <wp:extent cx="715518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7155180" cy="635"/>
                        </a:xfrm>
                        <a:prstGeom prst="rect">
                          <a:avLst/>
                        </a:prstGeom>
                        <a:solidFill>
                          <a:prstClr val="white"/>
                        </a:solidFill>
                        <a:ln>
                          <a:noFill/>
                        </a:ln>
                        <a:effectLst/>
                      </wps:spPr>
                      <wps:txbx>
                        <w:txbxContent>
                          <w:p w:rsidR="00115E1A" w:rsidRDefault="00115E1A" w:rsidP="00115E1A">
                            <w:pPr>
                              <w:pStyle w:val="Caption"/>
                              <w:jc w:val="center"/>
                              <w:rPr>
                                <w:noProof/>
                              </w:rPr>
                            </w:pPr>
                            <w:r>
                              <w:t xml:space="preserve">Figure </w:t>
                            </w:r>
                            <w:fldSimple w:instr=" SEQ Figure \* ARABIC ">
                              <w:r w:rsidR="00395747">
                                <w:rPr>
                                  <w:noProof/>
                                </w:rPr>
                                <w:t>1</w:t>
                              </w:r>
                            </w:fldSimple>
                            <w:r>
                              <w:t xml:space="preserve"> : schéma d’architecture globale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35pt;margin-top:353.85pt;width:563.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" stroked="f">
                <v:textbox style="mso-fit-shape-to-text:t" inset="0,0,0,0">
                  <w:txbxContent>
                    <w:p w:rsidR="00115E1A" w:rsidRDefault="00115E1A" w:rsidP="00115E1A">
                      <w:pPr>
                        <w:pStyle w:val="Caption"/>
                        <w:jc w:val="center"/>
                        <w:rPr>
                          <w:noProof/>
                        </w:rPr>
                      </w:pPr>
                      <w:r>
                        <w:t xml:space="preserve">Figure </w:t>
                      </w:r>
                      <w:fldSimple w:instr=" SEQ Figure \* ARABIC ">
                        <w:r w:rsidR="00395747">
                          <w:rPr>
                            <w:noProof/>
                          </w:rPr>
                          <w:t>1</w:t>
                        </w:r>
                      </w:fldSimple>
                      <w:r>
                        <w:t xml:space="preserve"> : schéma d’architecture globale</w:t>
                      </w:r>
                    </w:p>
                  </w:txbxContent>
                </v:textbox>
              </v:shape>
            </w:pict>
          </mc:Fallback>
        </mc:AlternateContent>
      </w:r>
      <w:r w:rsidR="00D40188">
        <w:t>Architecture globale</w:t>
      </w:r>
    </w:p>
    <w:p w:rsidR="00115E1A" w:rsidRDefault="00115E1A" w:rsidP="00B97DF8"/>
    <w:p w:rsidR="004204CB" w:rsidRDefault="004204CB" w:rsidP="00B97DF8"/>
    <w:p w:rsidR="00115E1A" w:rsidRDefault="00310DC6" w:rsidP="004204CB">
      <w:pPr>
        <w:pStyle w:val="Heading3"/>
      </w:pPr>
      <w:r>
        <w:t>Validité</w:t>
      </w:r>
    </w:p>
    <w:p w:rsidR="00310DC6" w:rsidRPr="00310DC6" w:rsidRDefault="00310DC6" w:rsidP="00310DC6"/>
    <w:p w:rsidR="00115E1A" w:rsidRDefault="00FB3B75" w:rsidP="00FB3B75">
      <w:pPr>
        <w:ind w:firstLine="360"/>
      </w:pPr>
      <w:r>
        <w:t>Cette architecture est présentée comme celle valide pendant la durée du POC. A l’avenir et si elle était intégrée dans un SI existant, les bases de données, le type de serveur ou d’autres composantes pourraient être sujet à modification.</w:t>
      </w:r>
    </w:p>
    <w:p w:rsidR="00310DC6" w:rsidRDefault="00310DC6" w:rsidP="00FB3B75">
      <w:pPr>
        <w:ind w:firstLine="360"/>
      </w:pPr>
    </w:p>
    <w:p w:rsidR="004204CB" w:rsidRDefault="004204CB" w:rsidP="004204CB">
      <w:pPr>
        <w:pStyle w:val="Heading3"/>
      </w:pPr>
      <w:r>
        <w:t>Authentification</w:t>
      </w:r>
      <w:r w:rsidR="00864E97">
        <w:t>/Utilisateurs</w:t>
      </w:r>
    </w:p>
    <w:p w:rsidR="00864E97" w:rsidRPr="00864E97" w:rsidRDefault="00864E97" w:rsidP="00864E97"/>
    <w:p w:rsidR="004204CB" w:rsidRDefault="00864E97" w:rsidP="004204CB">
      <w:pPr>
        <w:pStyle w:val="Heading4"/>
      </w:pPr>
      <w:r>
        <w:t>Gestion des profils</w:t>
      </w:r>
    </w:p>
    <w:p w:rsidR="00864E97" w:rsidRPr="00864E97" w:rsidRDefault="00864E97" w:rsidP="00864E97"/>
    <w:p w:rsidR="00864E97" w:rsidRDefault="00310DC6" w:rsidP="00310DC6">
      <w:pPr>
        <w:ind w:firstLine="360"/>
      </w:pPr>
      <w:r>
        <w:t>La gestion des utilisateurs des deux applications sera commune. A travers un annuaire LDAP qu’aucun des utilisateurs ne pourra remplir, stocké sur le serveur d’application.</w:t>
      </w:r>
      <w:r w:rsidR="00864E97">
        <w:t xml:space="preserve"> Le choix d’un annuaire et pas d’une base de données est habituelle dans les entreprises. Il est plus souvent consulté qu’il n’est modifié, </w:t>
      </w:r>
      <w:r w:rsidR="004C012D">
        <w:t xml:space="preserve">plus facile d’accès depuis n’importe quel type de client, </w:t>
      </w:r>
      <w:r w:rsidR="00864E97">
        <w:t xml:space="preserve">et les </w:t>
      </w:r>
      <w:r w:rsidR="00864E97">
        <w:lastRenderedPageBreak/>
        <w:t>conventions LDAP sont parfaitement adaptés à la gestion des utilisateurs (qu’on peut diviser en groupe</w:t>
      </w:r>
      <w:r w:rsidR="004C012D">
        <w:t>s</w:t>
      </w:r>
      <w:r w:rsidR="00864E97">
        <w:t xml:space="preserve"> par exemple).</w:t>
      </w:r>
    </w:p>
    <w:p w:rsidR="00310DC6" w:rsidRDefault="00310DC6" w:rsidP="00310DC6">
      <w:pPr>
        <w:ind w:firstLine="360"/>
      </w:pPr>
      <w:r>
        <w:t xml:space="preserve"> Les deux types de client auront à s’identifier, mais pas au même moment. </w:t>
      </w:r>
    </w:p>
    <w:p w:rsidR="004C012D" w:rsidRDefault="004204CB" w:rsidP="00310DC6">
      <w:pPr>
        <w:ind w:firstLine="360"/>
      </w:pPr>
      <w:r>
        <w:t>Le client mobile agira en mode déconnecté, et son identité ne sera vérifiée qu’à la synchronisation. De cette manière, il pourra prendre toutes les informations nécessaires même sans couverture réseau</w:t>
      </w:r>
      <w:r w:rsidR="004C012D">
        <w:t>, avant de les envoyer, cette fois en mode connecté</w:t>
      </w:r>
      <w:r>
        <w:t xml:space="preserve">. </w:t>
      </w:r>
    </w:p>
    <w:p w:rsidR="00FB3B75" w:rsidRDefault="004204CB" w:rsidP="00310DC6">
      <w:pPr>
        <w:ind w:firstLine="360"/>
      </w:pPr>
      <w:r>
        <w:t>Du côté du client siège, l’identification est nécessaire dès l’entrée dans l’application, pour accéder à ses dossiers.</w:t>
      </w:r>
    </w:p>
    <w:p w:rsidR="004C012D" w:rsidRDefault="004C012D" w:rsidP="00310DC6">
      <w:pPr>
        <w:ind w:firstLine="360"/>
      </w:pPr>
      <w:r>
        <w:t>Nous stockerons pour l’instant 3 informations utilisateurs :</w:t>
      </w:r>
    </w:p>
    <w:p w:rsidR="004C012D" w:rsidRDefault="004C012D" w:rsidP="004C012D">
      <w:pPr>
        <w:pStyle w:val="ListParagraph"/>
        <w:numPr>
          <w:ilvl w:val="0"/>
          <w:numId w:val="5"/>
        </w:numPr>
      </w:pPr>
      <w:r>
        <w:t>UID (son identifiant)</w:t>
      </w:r>
    </w:p>
    <w:p w:rsidR="004C012D" w:rsidRDefault="004C012D" w:rsidP="004C012D">
      <w:pPr>
        <w:pStyle w:val="ListParagraph"/>
        <w:numPr>
          <w:ilvl w:val="0"/>
          <w:numId w:val="5"/>
        </w:numPr>
      </w:pPr>
      <w:r>
        <w:t>Nom</w:t>
      </w:r>
    </w:p>
    <w:p w:rsidR="004C012D" w:rsidRDefault="004C012D" w:rsidP="004C012D">
      <w:pPr>
        <w:pStyle w:val="ListParagraph"/>
        <w:numPr>
          <w:ilvl w:val="0"/>
          <w:numId w:val="5"/>
        </w:numPr>
      </w:pPr>
      <w:r>
        <w:t>Prénom</w:t>
      </w:r>
    </w:p>
    <w:p w:rsidR="004E2E0D" w:rsidRDefault="004E2E0D" w:rsidP="00310DC6">
      <w:pPr>
        <w:ind w:firstLine="360"/>
      </w:pPr>
    </w:p>
    <w:p w:rsidR="00C54643" w:rsidRDefault="00C54643" w:rsidP="00C54643">
      <w:pPr>
        <w:pStyle w:val="Heading2"/>
      </w:pPr>
      <w:r>
        <w:t>Stockage des données</w:t>
      </w:r>
    </w:p>
    <w:p w:rsidR="00C54643" w:rsidRDefault="00C54643" w:rsidP="00C54643"/>
    <w:p w:rsidR="00C54643" w:rsidRDefault="00C54643" w:rsidP="00C54643">
      <w:pPr>
        <w:ind w:firstLine="357"/>
      </w:pPr>
      <w:r>
        <w:t>Pour le client mobile, chaque information que rentrera le client pourra se faire en mode déconnecté, comme nous l’avons spécifié. Il nous est donc imposé d’avoir un stockage des données interne au support mobile. Que ce soit sur tablette ou téléphone, les données</w:t>
      </w:r>
      <w:r w:rsidR="00BC1097">
        <w:t xml:space="preserve"> devront</w:t>
      </w:r>
      <w:r>
        <w:t xml:space="preserve"> donc être mis</w:t>
      </w:r>
      <w:r w:rsidR="00BC1097">
        <w:t>es</w:t>
      </w:r>
      <w:r>
        <w:t xml:space="preserve"> dans un</w:t>
      </w:r>
      <w:r w:rsidR="004C012D">
        <w:t xml:space="preserve"> dossier spécifique du support. U</w:t>
      </w:r>
      <w:r>
        <w:t>n dossier créé et géré par l’application semble être une bonne solution</w:t>
      </w:r>
      <w:r w:rsidR="00BC1097">
        <w:t>.</w:t>
      </w:r>
    </w:p>
    <w:p w:rsidR="00BC1097" w:rsidRDefault="00BC1097" w:rsidP="00BC1097">
      <w:pPr>
        <w:ind w:firstLine="357"/>
      </w:pPr>
      <w:r>
        <w:t xml:space="preserve">Pour le client siège, il accède directement à la base de données « réelle ». En effet, une fois les informations synchronisées, elles sont stockées en base. Pendant le POC, cette base est celle fournit avec le serveur, elle pourra être inséré dans un autre SI à l’avenir. Cette base de données regroupe seulement les informations </w:t>
      </w:r>
      <w:r w:rsidR="004E2E0D">
        <w:t>textuelles, pas les photos, les métrages ou les éventuels documents associés.</w:t>
      </w:r>
    </w:p>
    <w:p w:rsidR="004E2E0D" w:rsidRDefault="004E2E0D" w:rsidP="00BC1097">
      <w:pPr>
        <w:ind w:firstLine="357"/>
      </w:pPr>
      <w:r>
        <w:t>Pour ces données spécifiques, on utilisera un autre support qui permettra la consultation de ces données, type GED.</w:t>
      </w:r>
    </w:p>
    <w:p w:rsidR="004E2E0D" w:rsidRDefault="004E2E0D" w:rsidP="00BC1097">
      <w:pPr>
        <w:ind w:firstLine="357"/>
      </w:pPr>
      <w:r>
        <w:t>Pour lister les utilisateurs, comme précisé plus haut, ils seront référencés dans un annuaire LDAP stocké sur le serveur d’applications. Egalement précisé plus haut, ce serveur est sujet à changement dans le cadre d’une intégration future.</w:t>
      </w:r>
    </w:p>
    <w:p w:rsidR="00395747" w:rsidRDefault="00395747" w:rsidP="00BC1097">
      <w:pPr>
        <w:ind w:firstLine="357"/>
      </w:pPr>
      <w:r>
        <w:t>Ci-après, le schéma d’architecture avec le cas d’un dossier et la procédure concernant les identifications/stockage de données</w:t>
      </w:r>
    </w:p>
    <w:p w:rsidR="00395747" w:rsidRDefault="00395747" w:rsidP="00BC1097">
      <w:pPr>
        <w:ind w:firstLine="357"/>
      </w:pPr>
      <w:r>
        <w:rPr>
          <w:noProof/>
        </w:rPr>
        <w:lastRenderedPageBreak/>
        <mc:AlternateContent>
          <mc:Choice Requires="wps">
            <w:drawing>
              <wp:anchor distT="0" distB="0" distL="114300" distR="114300" simplePos="0" relativeHeight="251665408" behindDoc="0" locked="0" layoutInCell="1" allowOverlap="1" wp14:anchorId="612BE322" wp14:editId="6BB5891C">
                <wp:simplePos x="0" y="0"/>
                <wp:positionH relativeFrom="column">
                  <wp:posOffset>-431800</wp:posOffset>
                </wp:positionH>
                <wp:positionV relativeFrom="paragraph">
                  <wp:posOffset>3181350</wp:posOffset>
                </wp:positionV>
                <wp:extent cx="669988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699885" cy="635"/>
                        </a:xfrm>
                        <a:prstGeom prst="rect">
                          <a:avLst/>
                        </a:prstGeom>
                        <a:solidFill>
                          <a:prstClr val="white"/>
                        </a:solidFill>
                        <a:ln>
                          <a:noFill/>
                        </a:ln>
                        <a:effectLst/>
                      </wps:spPr>
                      <wps:txbx>
                        <w:txbxContent>
                          <w:p w:rsidR="00395747" w:rsidRPr="00DA4A70" w:rsidRDefault="00395747" w:rsidP="00395747">
                            <w:pPr>
                              <w:pStyle w:val="Caption"/>
                              <w:jc w:val="center"/>
                              <w:rPr>
                                <w:noProof/>
                              </w:rPr>
                            </w:pPr>
                            <w:r>
                              <w:t xml:space="preserve">Figure </w:t>
                            </w:r>
                            <w:fldSimple w:instr=" SEQ Figure \* ARABIC ">
                              <w:r>
                                <w:rPr>
                                  <w:noProof/>
                                </w:rPr>
                                <w:t>2</w:t>
                              </w:r>
                            </w:fldSimple>
                            <w:r>
                              <w:t xml:space="preserve"> : Procédure identifications/données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34pt;margin-top:250.5pt;width:527.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" stroked="f">
                <v:textbox style="mso-fit-shape-to-text:t" inset="0,0,0,0">
                  <w:txbxContent>
                    <w:p w:rsidR="00395747" w:rsidRPr="00DA4A70" w:rsidRDefault="00395747" w:rsidP="00395747">
                      <w:pPr>
                        <w:pStyle w:val="Caption"/>
                        <w:jc w:val="center"/>
                        <w:rPr>
                          <w:noProof/>
                        </w:rPr>
                      </w:pPr>
                      <w:r>
                        <w:t xml:space="preserve">Figure </w:t>
                      </w:r>
                      <w:fldSimple w:instr=" SEQ Figure \* ARABIC ">
                        <w:r>
                          <w:rPr>
                            <w:noProof/>
                          </w:rPr>
                          <w:t>2</w:t>
                        </w:r>
                      </w:fldSimple>
                      <w:r>
                        <w:t xml:space="preserve"> : Procédure identifications/données</w:t>
                      </w:r>
                    </w:p>
                  </w:txbxContent>
                </v:textbox>
                <w10:wrap type="square"/>
              </v:shape>
            </w:pict>
          </mc:Fallback>
        </mc:AlternateContent>
      </w:r>
      <w:r>
        <w:rPr>
          <w:noProof/>
          <w:lang w:eastAsia="fr-FR"/>
        </w:rPr>
        <w:drawing>
          <wp:anchor distT="0" distB="0" distL="114300" distR="114300" simplePos="0" relativeHeight="251663360" behindDoc="0" locked="0" layoutInCell="1" allowOverlap="1">
            <wp:simplePos x="0" y="0"/>
            <wp:positionH relativeFrom="column">
              <wp:posOffset>-431800</wp:posOffset>
            </wp:positionH>
            <wp:positionV relativeFrom="paragraph">
              <wp:posOffset>-510540</wp:posOffset>
            </wp:positionV>
            <wp:extent cx="6699885" cy="3634740"/>
            <wp:effectExtent l="0" t="0" r="571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éma d'architecture global.jpg"/>
                    <pic:cNvPicPr/>
                  </pic:nvPicPr>
                  <pic:blipFill>
                    <a:blip r:embed="rId7">
                      <a:extLst>
                        <a:ext uri="{28A0092B-C50C-407E-A947-70E740481C1C}">
                          <a14:useLocalDpi xmlns:a14="http://schemas.microsoft.com/office/drawing/2010/main" val="0"/>
                        </a:ext>
                      </a:extLst>
                    </a:blip>
                    <a:stretch>
                      <a:fillRect/>
                    </a:stretch>
                  </pic:blipFill>
                  <pic:spPr>
                    <a:xfrm>
                      <a:off x="0" y="0"/>
                      <a:ext cx="6699885" cy="3634740"/>
                    </a:xfrm>
                    <a:prstGeom prst="rect">
                      <a:avLst/>
                    </a:prstGeom>
                  </pic:spPr>
                </pic:pic>
              </a:graphicData>
            </a:graphic>
            <wp14:sizeRelH relativeFrom="margin">
              <wp14:pctWidth>0</wp14:pctWidth>
            </wp14:sizeRelH>
            <wp14:sizeRelV relativeFrom="margin">
              <wp14:pctHeight>0</wp14:pctHeight>
            </wp14:sizeRelV>
          </wp:anchor>
        </w:drawing>
      </w:r>
    </w:p>
    <w:p w:rsidR="004E2E0D" w:rsidRDefault="004E2E0D" w:rsidP="00BC1097">
      <w:pPr>
        <w:ind w:firstLine="357"/>
      </w:pPr>
    </w:p>
    <w:p w:rsidR="004E2E0D" w:rsidRDefault="004E2E0D" w:rsidP="004E2E0D">
      <w:pPr>
        <w:pStyle w:val="Heading2"/>
      </w:pPr>
      <w:r>
        <w:t>Modèle de données</w:t>
      </w:r>
    </w:p>
    <w:p w:rsidR="004E2E0D" w:rsidRDefault="004E2E0D" w:rsidP="004E2E0D"/>
    <w:p w:rsidR="004E2E0D" w:rsidRDefault="004E2E0D" w:rsidP="00797AFD">
      <w:pPr>
        <w:ind w:firstLine="360"/>
      </w:pPr>
      <w:r>
        <w:t xml:space="preserve">Le modèle de données n’est pas encore totalement spécifié, il fera l’objet d’un document à part de conception, </w:t>
      </w:r>
    </w:p>
    <w:p w:rsidR="00797AFD" w:rsidRDefault="00797AFD" w:rsidP="004E2E0D"/>
    <w:p w:rsidR="00797AFD" w:rsidRDefault="00797AFD" w:rsidP="00797AFD">
      <w:pPr>
        <w:pStyle w:val="Heading2"/>
      </w:pPr>
      <w:r>
        <w:t>Couche IHM</w:t>
      </w:r>
    </w:p>
    <w:p w:rsidR="004E2E0D" w:rsidRDefault="004E2E0D" w:rsidP="00797AFD"/>
    <w:p w:rsidR="00797AFD" w:rsidRPr="00C54643" w:rsidRDefault="00797AFD" w:rsidP="00797AFD">
      <w:r>
        <w:t xml:space="preserve">Les différents écrans des deux applications sont spécifiés dans leurs SFD respectives. </w:t>
      </w:r>
    </w:p>
    <w:p w:rsidR="00310DC6" w:rsidRDefault="00310DC6" w:rsidP="00310DC6">
      <w:pPr>
        <w:ind w:firstLine="360"/>
      </w:pPr>
    </w:p>
    <w:p w:rsidR="00FB3B75" w:rsidRDefault="00FB3B75" w:rsidP="00FB3B75"/>
    <w:p w:rsidR="00B97DF8" w:rsidRDefault="00B97DF8" w:rsidP="00B97DF8">
      <w:pPr>
        <w:pStyle w:val="Heading1"/>
      </w:pPr>
      <w:r>
        <w:lastRenderedPageBreak/>
        <w:t>Liste des composants logiciels</w:t>
      </w:r>
    </w:p>
    <w:p w:rsidR="00797AFD" w:rsidRDefault="00797AFD" w:rsidP="00797AFD"/>
    <w:p w:rsidR="00797AFD" w:rsidRPr="00797AFD" w:rsidRDefault="00797AFD" w:rsidP="00797AFD">
      <w:r>
        <w:t xml:space="preserve">Nous n’utiliserons que des outils OpenSource pendant la durée du POC. </w:t>
      </w:r>
    </w:p>
    <w:p w:rsidR="00C54643" w:rsidRDefault="00C54643" w:rsidP="00C54643"/>
    <w:p w:rsidR="00C54643" w:rsidRDefault="00C54643" w:rsidP="00C54643">
      <w:pPr>
        <w:pStyle w:val="Heading2"/>
      </w:pPr>
      <w:r>
        <w:t>Environnement de développement</w:t>
      </w:r>
    </w:p>
    <w:p w:rsidR="00C54643" w:rsidRDefault="00C54643" w:rsidP="00797AFD">
      <w:pPr>
        <w:pStyle w:val="Heading3"/>
        <w:numPr>
          <w:ilvl w:val="0"/>
          <w:numId w:val="0"/>
        </w:numPr>
        <w:rPr>
          <w:rFonts w:asciiTheme="minorHAnsi" w:eastAsiaTheme="minorHAnsi" w:hAnsiTheme="minorHAnsi" w:cstheme="minorBidi"/>
          <w:b w:val="0"/>
          <w:bCs w:val="0"/>
          <w:color w:val="auto"/>
        </w:rPr>
      </w:pPr>
    </w:p>
    <w:p w:rsidR="00797AFD" w:rsidRDefault="00797AFD" w:rsidP="00797AFD">
      <w:r>
        <w:t xml:space="preserve">Les applications seront réalisées en Java. L’application mobile sera donc une application Android. </w:t>
      </w:r>
    </w:p>
    <w:p w:rsidR="00997135" w:rsidRDefault="00797AFD" w:rsidP="008F5626">
      <w:pPr>
        <w:ind w:firstLine="708"/>
      </w:pPr>
      <w:r>
        <w:t xml:space="preserve">Pour l’application Siège, nous utiliserons l’IDE Eclipse Neon, la version la plus récente à l’heure actuelle, gratuite et performante. </w:t>
      </w:r>
    </w:p>
    <w:p w:rsidR="00997135" w:rsidRDefault="00797AFD" w:rsidP="008F5626">
      <w:pPr>
        <w:ind w:firstLine="708"/>
      </w:pPr>
      <w:r>
        <w:t>L’organisation du p</w:t>
      </w:r>
      <w:r w:rsidR="00997135">
        <w:t>rojet se fera à l’aide de Maven, pour la gestion claire et complète du projet.</w:t>
      </w:r>
    </w:p>
    <w:p w:rsidR="00A47DE0" w:rsidRDefault="00997135" w:rsidP="00997135">
      <w:pPr>
        <w:ind w:firstLine="708"/>
      </w:pPr>
      <w:r>
        <w:t>N</w:t>
      </w:r>
      <w:r w:rsidR="00797AFD">
        <w:t>ous utiliserons des EJB comme mod</w:t>
      </w:r>
      <w:r w:rsidR="00CE3A64">
        <w:t xml:space="preserve">èle de données, </w:t>
      </w:r>
      <w:r w:rsidR="00A47DE0">
        <w:t>avec Hibernate comme ORM. Cet outil a été utilisé dans un projet d’étude récemment, et il remplit pleinement les demandes du projet.</w:t>
      </w:r>
      <w:r w:rsidR="00395747">
        <w:t xml:space="preserve"> Ci-après, sa position entre le modèle java et la couche De données en base.</w:t>
      </w:r>
    </w:p>
    <w:p w:rsidR="00395747" w:rsidRDefault="003A074F" w:rsidP="00395747">
      <w:pPr>
        <w:keepNext/>
        <w:ind w:firstLine="708"/>
      </w:pPr>
      <w:r>
        <w:rPr>
          <w:noProof/>
          <w:lang w:eastAsia="fr-FR"/>
        </w:rPr>
        <w:drawing>
          <wp:inline distT="0" distB="0" distL="0" distR="0" wp14:anchorId="746F0F8C" wp14:editId="63B46BAA">
            <wp:extent cx="576072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1478280"/>
                    </a:xfrm>
                    <a:prstGeom prst="rect">
                      <a:avLst/>
                    </a:prstGeom>
                  </pic:spPr>
                </pic:pic>
              </a:graphicData>
            </a:graphic>
          </wp:inline>
        </w:drawing>
      </w:r>
    </w:p>
    <w:p w:rsidR="00997135" w:rsidRDefault="00395747" w:rsidP="00395747">
      <w:pPr>
        <w:pStyle w:val="Caption"/>
        <w:jc w:val="center"/>
      </w:pPr>
      <w:r>
        <w:t xml:space="preserve">Figure </w:t>
      </w:r>
      <w:fldSimple w:instr=" SEQ Figure \* ARABIC ">
        <w:r>
          <w:rPr>
            <w:noProof/>
          </w:rPr>
          <w:t>3</w:t>
        </w:r>
      </w:fldSimple>
      <w:r>
        <w:t xml:space="preserve"> : place de hibernate dans l'ORM</w:t>
      </w:r>
    </w:p>
    <w:p w:rsidR="00395747" w:rsidRPr="00395747" w:rsidRDefault="00395747" w:rsidP="00395747"/>
    <w:p w:rsidR="00797AFD" w:rsidRDefault="008F5626" w:rsidP="008F5626">
      <w:pPr>
        <w:ind w:firstLine="708"/>
      </w:pPr>
      <w:r>
        <w:t xml:space="preserve">Nous utiliserons également </w:t>
      </w:r>
      <w:r w:rsidR="00A47DE0">
        <w:t>AngularJS</w:t>
      </w:r>
      <w:r w:rsidR="00883091">
        <w:t xml:space="preserve"> 1.6.1</w:t>
      </w:r>
      <w:r>
        <w:t xml:space="preserve"> pour la partie Web.</w:t>
      </w:r>
      <w:r w:rsidR="00A47DE0">
        <w:t xml:space="preserve"> Cet outil est très récent et très performant. Bien que nous n’ayons jamais travaillé dessus, de nombreuses aides sont disponibles et permettront de réaliser une solution optimale.</w:t>
      </w:r>
    </w:p>
    <w:p w:rsidR="00797AFD" w:rsidRDefault="00797AFD" w:rsidP="008F5626">
      <w:pPr>
        <w:ind w:firstLine="708"/>
      </w:pPr>
      <w:r>
        <w:t>Pour l’application Mobile, nous utiliserons Android Studio</w:t>
      </w:r>
      <w:r w:rsidR="00883091">
        <w:t xml:space="preserve"> comme environnement de développement</w:t>
      </w:r>
      <w:r>
        <w:t>, version 2.2.2.</w:t>
      </w:r>
      <w:r w:rsidR="008F5626">
        <w:t xml:space="preserve"> C’est une solution OpenS</w:t>
      </w:r>
      <w:r w:rsidR="00A47DE0">
        <w:t>ource</w:t>
      </w:r>
      <w:r w:rsidR="00883091">
        <w:t xml:space="preserve"> efficace et très utilisée</w:t>
      </w:r>
      <w:r w:rsidR="00A47DE0">
        <w:t>.</w:t>
      </w:r>
    </w:p>
    <w:p w:rsidR="008F5626" w:rsidRDefault="008F5626" w:rsidP="008F5626">
      <w:pPr>
        <w:ind w:firstLine="708"/>
      </w:pPr>
    </w:p>
    <w:p w:rsidR="008F5626" w:rsidRPr="008F5626" w:rsidRDefault="008F5626" w:rsidP="008F5626">
      <w:pPr>
        <w:pStyle w:val="Heading2"/>
      </w:pPr>
      <w:r>
        <w:t>Serveur d’application</w:t>
      </w:r>
    </w:p>
    <w:p w:rsidR="008F5626" w:rsidRPr="00797AFD" w:rsidRDefault="008F5626" w:rsidP="00797AFD"/>
    <w:p w:rsidR="008F7253" w:rsidRPr="00424D72" w:rsidRDefault="008F5626" w:rsidP="008F5626">
      <w:pPr>
        <w:pStyle w:val="m4541351123633332928m-7969415908891675047msotoc1"/>
        <w:ind w:firstLine="360"/>
        <w:rPr>
          <w:rFonts w:asciiTheme="minorHAnsi" w:hAnsiTheme="minorHAnsi" w:cstheme="minorHAnsi"/>
          <w:sz w:val="22"/>
          <w:szCs w:val="22"/>
        </w:rPr>
      </w:pPr>
      <w:r w:rsidRPr="00424D72">
        <w:rPr>
          <w:rFonts w:asciiTheme="minorHAnsi" w:hAnsiTheme="minorHAnsi" w:cstheme="minorHAnsi"/>
          <w:sz w:val="22"/>
          <w:szCs w:val="22"/>
        </w:rPr>
        <w:t>Comme on peut le voir sur la figure 1, nous utiliserons WildFly</w:t>
      </w:r>
      <w:r w:rsidR="00883091">
        <w:rPr>
          <w:rFonts w:asciiTheme="minorHAnsi" w:hAnsiTheme="minorHAnsi" w:cstheme="minorHAnsi"/>
          <w:sz w:val="22"/>
          <w:szCs w:val="22"/>
        </w:rPr>
        <w:t xml:space="preserve"> 10.1.0</w:t>
      </w:r>
      <w:r w:rsidRPr="00424D72">
        <w:rPr>
          <w:rFonts w:asciiTheme="minorHAnsi" w:hAnsiTheme="minorHAnsi" w:cstheme="minorHAnsi"/>
          <w:sz w:val="22"/>
          <w:szCs w:val="22"/>
        </w:rPr>
        <w:t xml:space="preserve"> comme serveur d’application. Il fournit également une base de données que nous utiliserons aussi durant le POC.</w:t>
      </w:r>
      <w:r w:rsidR="00883091">
        <w:rPr>
          <w:rFonts w:asciiTheme="minorHAnsi" w:hAnsiTheme="minorHAnsi" w:cstheme="minorHAnsi"/>
          <w:sz w:val="22"/>
          <w:szCs w:val="22"/>
        </w:rPr>
        <w:t xml:space="preserve"> </w:t>
      </w:r>
      <w:r w:rsidR="00883091">
        <w:rPr>
          <w:rFonts w:asciiTheme="minorHAnsi" w:hAnsiTheme="minorHAnsi" w:cstheme="minorHAnsi"/>
          <w:sz w:val="22"/>
          <w:szCs w:val="22"/>
        </w:rPr>
        <w:lastRenderedPageBreak/>
        <w:t>Nous avons déjà utilisé cet outil dans un projet récent, et il apparaît répondre parfaitement à nos besoins.</w:t>
      </w:r>
    </w:p>
    <w:p w:rsidR="008F5626" w:rsidRDefault="008F5626" w:rsidP="008F5626">
      <w:pPr>
        <w:pStyle w:val="Heading2"/>
      </w:pPr>
      <w:r>
        <w:t>Système de Versionnage</w:t>
      </w:r>
    </w:p>
    <w:p w:rsidR="008F5626" w:rsidRDefault="008F5626" w:rsidP="008F5626"/>
    <w:p w:rsidR="00B47CB9" w:rsidRDefault="008F5626" w:rsidP="00B47CB9">
      <w:r w:rsidRPr="008F5626">
        <w:rPr>
          <w:rFonts w:ascii="Times New Roman" w:hAnsi="Times New Roman" w:cs="Times New Roman"/>
        </w:rPr>
        <w:t>Nous utili</w:t>
      </w:r>
      <w:r>
        <w:rPr>
          <w:rFonts w:ascii="Times New Roman" w:hAnsi="Times New Roman" w:cs="Times New Roman"/>
        </w:rPr>
        <w:t>sons Git comme système de versionnage, avec un dépôt situé sur le site de GitHub.</w:t>
      </w:r>
      <w:r w:rsidR="006E158A">
        <w:t xml:space="preserve"> </w:t>
      </w:r>
    </w:p>
    <w:p w:rsidR="00395747" w:rsidRDefault="00395747" w:rsidP="00B47CB9"/>
    <w:p w:rsidR="00154EB7" w:rsidRDefault="00395747" w:rsidP="00154EB7">
      <w:pPr>
        <w:pStyle w:val="Heading2"/>
      </w:pPr>
      <w:r>
        <w:t>Récapitulatif </w:t>
      </w:r>
    </w:p>
    <w:p w:rsidR="00154EB7" w:rsidRPr="00154EB7" w:rsidRDefault="00154EB7" w:rsidP="00154EB7">
      <w:bookmarkStart w:id="0" w:name="_GoBack"/>
      <w:bookmarkEnd w:id="0"/>
    </w:p>
    <w:tbl>
      <w:tblPr>
        <w:tblStyle w:val="TableGrid"/>
        <w:tblW w:w="0" w:type="auto"/>
        <w:tblLook w:val="04A0" w:firstRow="1" w:lastRow="0" w:firstColumn="1" w:lastColumn="0" w:noHBand="0" w:noVBand="1"/>
      </w:tblPr>
      <w:tblGrid>
        <w:gridCol w:w="3070"/>
        <w:gridCol w:w="15"/>
        <w:gridCol w:w="1559"/>
        <w:gridCol w:w="1497"/>
        <w:gridCol w:w="63"/>
        <w:gridCol w:w="1559"/>
        <w:gridCol w:w="1449"/>
      </w:tblGrid>
      <w:tr w:rsidR="00154EB7" w:rsidTr="00154EB7">
        <w:tc>
          <w:tcPr>
            <w:tcW w:w="3070" w:type="dxa"/>
          </w:tcPr>
          <w:p w:rsidR="00154EB7" w:rsidRDefault="00154EB7" w:rsidP="00154EB7"/>
        </w:tc>
        <w:tc>
          <w:tcPr>
            <w:tcW w:w="3071" w:type="dxa"/>
            <w:gridSpan w:val="3"/>
          </w:tcPr>
          <w:p w:rsidR="00154EB7" w:rsidRPr="00154EB7" w:rsidRDefault="00154EB7" w:rsidP="00154EB7">
            <w:pPr>
              <w:rPr>
                <w:b/>
              </w:rPr>
            </w:pPr>
            <w:r w:rsidRPr="00154EB7">
              <w:rPr>
                <w:b/>
              </w:rPr>
              <w:t>Application Client</w:t>
            </w:r>
          </w:p>
        </w:tc>
        <w:tc>
          <w:tcPr>
            <w:tcW w:w="3071" w:type="dxa"/>
            <w:gridSpan w:val="3"/>
          </w:tcPr>
          <w:p w:rsidR="00154EB7" w:rsidRPr="00154EB7" w:rsidRDefault="00154EB7" w:rsidP="00154EB7">
            <w:pPr>
              <w:rPr>
                <w:b/>
              </w:rPr>
            </w:pPr>
            <w:r w:rsidRPr="00154EB7">
              <w:rPr>
                <w:b/>
              </w:rPr>
              <w:t>Application Siège</w:t>
            </w:r>
          </w:p>
        </w:tc>
      </w:tr>
      <w:tr w:rsidR="00154EB7" w:rsidTr="00154EB7">
        <w:tc>
          <w:tcPr>
            <w:tcW w:w="3085" w:type="dxa"/>
            <w:gridSpan w:val="2"/>
          </w:tcPr>
          <w:p w:rsidR="00154EB7" w:rsidRPr="00154EB7" w:rsidRDefault="00154EB7" w:rsidP="00154EB7">
            <w:pPr>
              <w:rPr>
                <w:u w:val="single"/>
              </w:rPr>
            </w:pPr>
            <w:r w:rsidRPr="00154EB7">
              <w:rPr>
                <w:u w:val="single"/>
              </w:rPr>
              <w:t>Champ d’application</w:t>
            </w:r>
          </w:p>
        </w:tc>
        <w:tc>
          <w:tcPr>
            <w:tcW w:w="1559" w:type="dxa"/>
          </w:tcPr>
          <w:p w:rsidR="00154EB7" w:rsidRPr="00154EB7" w:rsidRDefault="00154EB7" w:rsidP="00154EB7">
            <w:pPr>
              <w:rPr>
                <w:u w:val="single"/>
              </w:rPr>
            </w:pPr>
            <w:r w:rsidRPr="00154EB7">
              <w:rPr>
                <w:u w:val="single"/>
              </w:rPr>
              <w:t>Nom</w:t>
            </w:r>
          </w:p>
        </w:tc>
        <w:tc>
          <w:tcPr>
            <w:tcW w:w="1560" w:type="dxa"/>
            <w:gridSpan w:val="2"/>
          </w:tcPr>
          <w:p w:rsidR="00154EB7" w:rsidRPr="00154EB7" w:rsidRDefault="00154EB7" w:rsidP="00154EB7">
            <w:pPr>
              <w:rPr>
                <w:u w:val="single"/>
              </w:rPr>
            </w:pPr>
            <w:r w:rsidRPr="00154EB7">
              <w:rPr>
                <w:u w:val="single"/>
              </w:rPr>
              <w:t>Version</w:t>
            </w:r>
          </w:p>
        </w:tc>
        <w:tc>
          <w:tcPr>
            <w:tcW w:w="1559" w:type="dxa"/>
          </w:tcPr>
          <w:p w:rsidR="00154EB7" w:rsidRPr="00154EB7" w:rsidRDefault="00154EB7" w:rsidP="00154EB7">
            <w:pPr>
              <w:rPr>
                <w:u w:val="single"/>
              </w:rPr>
            </w:pPr>
            <w:r w:rsidRPr="00154EB7">
              <w:rPr>
                <w:u w:val="single"/>
              </w:rPr>
              <w:t>Nom</w:t>
            </w:r>
          </w:p>
        </w:tc>
        <w:tc>
          <w:tcPr>
            <w:tcW w:w="1449" w:type="dxa"/>
          </w:tcPr>
          <w:p w:rsidR="00154EB7" w:rsidRPr="00154EB7" w:rsidRDefault="00154EB7" w:rsidP="00154EB7">
            <w:pPr>
              <w:rPr>
                <w:u w:val="single"/>
              </w:rPr>
            </w:pPr>
            <w:r w:rsidRPr="00154EB7">
              <w:rPr>
                <w:u w:val="single"/>
              </w:rPr>
              <w:t>Version</w:t>
            </w:r>
          </w:p>
        </w:tc>
      </w:tr>
      <w:tr w:rsidR="00154EB7" w:rsidTr="00154EB7">
        <w:tc>
          <w:tcPr>
            <w:tcW w:w="3085" w:type="dxa"/>
            <w:gridSpan w:val="2"/>
          </w:tcPr>
          <w:p w:rsidR="00154EB7" w:rsidRDefault="00154EB7" w:rsidP="00154EB7">
            <w:r>
              <w:t>Environnement de Développement</w:t>
            </w:r>
          </w:p>
        </w:tc>
        <w:tc>
          <w:tcPr>
            <w:tcW w:w="1559" w:type="dxa"/>
          </w:tcPr>
          <w:p w:rsidR="00154EB7" w:rsidRDefault="00154EB7" w:rsidP="00154EB7">
            <w:r>
              <w:t>Android Studio</w:t>
            </w:r>
          </w:p>
        </w:tc>
        <w:tc>
          <w:tcPr>
            <w:tcW w:w="1560" w:type="dxa"/>
            <w:gridSpan w:val="2"/>
          </w:tcPr>
          <w:p w:rsidR="00154EB7" w:rsidRDefault="00154EB7" w:rsidP="00154EB7">
            <w:r>
              <w:t>2.2.2</w:t>
            </w:r>
          </w:p>
        </w:tc>
        <w:tc>
          <w:tcPr>
            <w:tcW w:w="1559" w:type="dxa"/>
          </w:tcPr>
          <w:p w:rsidR="00154EB7" w:rsidRDefault="00154EB7" w:rsidP="00154EB7">
            <w:r>
              <w:t>Eclipse</w:t>
            </w:r>
          </w:p>
        </w:tc>
        <w:tc>
          <w:tcPr>
            <w:tcW w:w="1449" w:type="dxa"/>
          </w:tcPr>
          <w:p w:rsidR="00154EB7" w:rsidRDefault="00154EB7" w:rsidP="00154EB7">
            <w:r>
              <w:t>Neon</w:t>
            </w:r>
          </w:p>
        </w:tc>
      </w:tr>
      <w:tr w:rsidR="00154EB7" w:rsidTr="00154EB7">
        <w:tc>
          <w:tcPr>
            <w:tcW w:w="3085" w:type="dxa"/>
            <w:gridSpan w:val="2"/>
          </w:tcPr>
          <w:p w:rsidR="00154EB7" w:rsidRDefault="00154EB7" w:rsidP="00154EB7">
            <w:r>
              <w:t>Gestion du modèle</w:t>
            </w:r>
          </w:p>
        </w:tc>
        <w:tc>
          <w:tcPr>
            <w:tcW w:w="1559" w:type="dxa"/>
          </w:tcPr>
          <w:p w:rsidR="00154EB7" w:rsidRDefault="00154EB7" w:rsidP="00154EB7"/>
        </w:tc>
        <w:tc>
          <w:tcPr>
            <w:tcW w:w="1560" w:type="dxa"/>
            <w:gridSpan w:val="2"/>
          </w:tcPr>
          <w:p w:rsidR="00154EB7" w:rsidRDefault="00154EB7" w:rsidP="00154EB7"/>
        </w:tc>
        <w:tc>
          <w:tcPr>
            <w:tcW w:w="1559" w:type="dxa"/>
          </w:tcPr>
          <w:p w:rsidR="00154EB7" w:rsidRDefault="00154EB7" w:rsidP="00154EB7">
            <w:r>
              <w:t>EJB</w:t>
            </w:r>
          </w:p>
        </w:tc>
        <w:tc>
          <w:tcPr>
            <w:tcW w:w="1449" w:type="dxa"/>
          </w:tcPr>
          <w:p w:rsidR="00154EB7" w:rsidRDefault="00154EB7" w:rsidP="00154EB7"/>
        </w:tc>
      </w:tr>
      <w:tr w:rsidR="00154EB7" w:rsidTr="00154EB7">
        <w:tc>
          <w:tcPr>
            <w:tcW w:w="3085" w:type="dxa"/>
            <w:gridSpan w:val="2"/>
          </w:tcPr>
          <w:p w:rsidR="00154EB7" w:rsidRDefault="00154EB7" w:rsidP="00154EB7">
            <w:r>
              <w:t>Persistance</w:t>
            </w:r>
          </w:p>
        </w:tc>
        <w:tc>
          <w:tcPr>
            <w:tcW w:w="1559" w:type="dxa"/>
          </w:tcPr>
          <w:p w:rsidR="00154EB7" w:rsidRDefault="00154EB7" w:rsidP="00154EB7"/>
        </w:tc>
        <w:tc>
          <w:tcPr>
            <w:tcW w:w="1560" w:type="dxa"/>
            <w:gridSpan w:val="2"/>
          </w:tcPr>
          <w:p w:rsidR="00154EB7" w:rsidRDefault="00154EB7" w:rsidP="00154EB7"/>
        </w:tc>
        <w:tc>
          <w:tcPr>
            <w:tcW w:w="1559" w:type="dxa"/>
          </w:tcPr>
          <w:p w:rsidR="00154EB7" w:rsidRDefault="00154EB7" w:rsidP="00154EB7">
            <w:r>
              <w:t>Hibernate</w:t>
            </w:r>
          </w:p>
        </w:tc>
        <w:tc>
          <w:tcPr>
            <w:tcW w:w="1449" w:type="dxa"/>
          </w:tcPr>
          <w:p w:rsidR="00154EB7" w:rsidRDefault="00154EB7" w:rsidP="00154EB7"/>
        </w:tc>
      </w:tr>
      <w:tr w:rsidR="00154EB7" w:rsidTr="00154EB7">
        <w:tc>
          <w:tcPr>
            <w:tcW w:w="3085" w:type="dxa"/>
            <w:gridSpan w:val="2"/>
          </w:tcPr>
          <w:p w:rsidR="00154EB7" w:rsidRDefault="00154EB7" w:rsidP="00154EB7">
            <w:r>
              <w:t>Serveur d’application</w:t>
            </w:r>
          </w:p>
        </w:tc>
        <w:tc>
          <w:tcPr>
            <w:tcW w:w="1559" w:type="dxa"/>
          </w:tcPr>
          <w:p w:rsidR="00154EB7" w:rsidRDefault="00154EB7" w:rsidP="00154EB7"/>
        </w:tc>
        <w:tc>
          <w:tcPr>
            <w:tcW w:w="1560" w:type="dxa"/>
            <w:gridSpan w:val="2"/>
          </w:tcPr>
          <w:p w:rsidR="00154EB7" w:rsidRDefault="00154EB7" w:rsidP="00154EB7"/>
        </w:tc>
        <w:tc>
          <w:tcPr>
            <w:tcW w:w="1559" w:type="dxa"/>
          </w:tcPr>
          <w:p w:rsidR="00154EB7" w:rsidRDefault="00154EB7" w:rsidP="00154EB7">
            <w:r>
              <w:t>WildFly</w:t>
            </w:r>
          </w:p>
        </w:tc>
        <w:tc>
          <w:tcPr>
            <w:tcW w:w="1449" w:type="dxa"/>
          </w:tcPr>
          <w:p w:rsidR="00154EB7" w:rsidRDefault="00154EB7" w:rsidP="00154EB7">
            <w:r>
              <w:t>10.1.0</w:t>
            </w:r>
          </w:p>
        </w:tc>
      </w:tr>
      <w:tr w:rsidR="00154EB7" w:rsidTr="00154EB7">
        <w:tc>
          <w:tcPr>
            <w:tcW w:w="3085" w:type="dxa"/>
            <w:gridSpan w:val="2"/>
          </w:tcPr>
          <w:p w:rsidR="00154EB7" w:rsidRDefault="00154EB7" w:rsidP="00154EB7">
            <w:r>
              <w:t>Base de données</w:t>
            </w:r>
          </w:p>
        </w:tc>
        <w:tc>
          <w:tcPr>
            <w:tcW w:w="1559" w:type="dxa"/>
          </w:tcPr>
          <w:p w:rsidR="00154EB7" w:rsidRDefault="00154EB7" w:rsidP="00154EB7">
            <w:r>
              <w:t>Dossier interne</w:t>
            </w:r>
          </w:p>
        </w:tc>
        <w:tc>
          <w:tcPr>
            <w:tcW w:w="1560" w:type="dxa"/>
            <w:gridSpan w:val="2"/>
          </w:tcPr>
          <w:p w:rsidR="00154EB7" w:rsidRDefault="00154EB7" w:rsidP="00154EB7"/>
        </w:tc>
        <w:tc>
          <w:tcPr>
            <w:tcW w:w="1559" w:type="dxa"/>
          </w:tcPr>
          <w:p w:rsidR="00154EB7" w:rsidRDefault="00154EB7" w:rsidP="00154EB7">
            <w:r>
              <w:t>HsqlDB (fournit avec Wildfly)</w:t>
            </w:r>
          </w:p>
        </w:tc>
        <w:tc>
          <w:tcPr>
            <w:tcW w:w="1449" w:type="dxa"/>
          </w:tcPr>
          <w:p w:rsidR="00154EB7" w:rsidRDefault="00154EB7" w:rsidP="00154EB7"/>
        </w:tc>
      </w:tr>
      <w:tr w:rsidR="00154EB7" w:rsidTr="00154EB7">
        <w:tc>
          <w:tcPr>
            <w:tcW w:w="3085" w:type="dxa"/>
            <w:gridSpan w:val="2"/>
          </w:tcPr>
          <w:p w:rsidR="00154EB7" w:rsidRDefault="00154EB7" w:rsidP="00154EB7">
            <w:r>
              <w:t>Framework Web</w:t>
            </w:r>
          </w:p>
        </w:tc>
        <w:tc>
          <w:tcPr>
            <w:tcW w:w="1559" w:type="dxa"/>
          </w:tcPr>
          <w:p w:rsidR="00154EB7" w:rsidRDefault="00154EB7" w:rsidP="00154EB7"/>
        </w:tc>
        <w:tc>
          <w:tcPr>
            <w:tcW w:w="1560" w:type="dxa"/>
            <w:gridSpan w:val="2"/>
          </w:tcPr>
          <w:p w:rsidR="00154EB7" w:rsidRDefault="00154EB7" w:rsidP="00154EB7"/>
        </w:tc>
        <w:tc>
          <w:tcPr>
            <w:tcW w:w="1559" w:type="dxa"/>
          </w:tcPr>
          <w:p w:rsidR="00154EB7" w:rsidRDefault="00154EB7" w:rsidP="00154EB7">
            <w:r>
              <w:t>AngularJS</w:t>
            </w:r>
          </w:p>
        </w:tc>
        <w:tc>
          <w:tcPr>
            <w:tcW w:w="1449" w:type="dxa"/>
          </w:tcPr>
          <w:p w:rsidR="00154EB7" w:rsidRDefault="00154EB7" w:rsidP="00154EB7">
            <w:r>
              <w:t>1.6.1</w:t>
            </w:r>
          </w:p>
        </w:tc>
      </w:tr>
      <w:tr w:rsidR="00154EB7" w:rsidTr="00154EB7">
        <w:tc>
          <w:tcPr>
            <w:tcW w:w="3085" w:type="dxa"/>
            <w:gridSpan w:val="2"/>
          </w:tcPr>
          <w:p w:rsidR="00154EB7" w:rsidRDefault="00154EB7" w:rsidP="00154EB7">
            <w:r>
              <w:t>Versionnage</w:t>
            </w:r>
          </w:p>
        </w:tc>
        <w:tc>
          <w:tcPr>
            <w:tcW w:w="1559" w:type="dxa"/>
          </w:tcPr>
          <w:p w:rsidR="00154EB7" w:rsidRDefault="00154EB7" w:rsidP="00154EB7"/>
        </w:tc>
        <w:tc>
          <w:tcPr>
            <w:tcW w:w="1560" w:type="dxa"/>
            <w:gridSpan w:val="2"/>
          </w:tcPr>
          <w:p w:rsidR="00154EB7" w:rsidRDefault="00154EB7" w:rsidP="00154EB7"/>
        </w:tc>
        <w:tc>
          <w:tcPr>
            <w:tcW w:w="1559" w:type="dxa"/>
          </w:tcPr>
          <w:p w:rsidR="00154EB7" w:rsidRDefault="00154EB7" w:rsidP="00154EB7">
            <w:r>
              <w:t>Git</w:t>
            </w:r>
          </w:p>
        </w:tc>
        <w:tc>
          <w:tcPr>
            <w:tcW w:w="1449" w:type="dxa"/>
          </w:tcPr>
          <w:p w:rsidR="00154EB7" w:rsidRDefault="00154EB7" w:rsidP="00154EB7">
            <w:r>
              <w:t>2.11.0</w:t>
            </w:r>
          </w:p>
        </w:tc>
      </w:tr>
    </w:tbl>
    <w:p w:rsidR="00154EB7" w:rsidRPr="00395747" w:rsidRDefault="00154EB7" w:rsidP="00154EB7"/>
    <w:sectPr w:rsidR="00154EB7" w:rsidRPr="003957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D5223"/>
    <w:multiLevelType w:val="hybridMultilevel"/>
    <w:tmpl w:val="9C40D2EA"/>
    <w:lvl w:ilvl="0" w:tplc="EAC40E8A">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8DA61E9"/>
    <w:multiLevelType w:val="hybridMultilevel"/>
    <w:tmpl w:val="E4122218"/>
    <w:lvl w:ilvl="0" w:tplc="28246F2C">
      <w:start w:val="1"/>
      <w:numFmt w:val="lowerLetter"/>
      <w:pStyle w:val="Heading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3BD7208"/>
    <w:multiLevelType w:val="hybridMultilevel"/>
    <w:tmpl w:val="D4962F60"/>
    <w:lvl w:ilvl="0" w:tplc="0AAE0A18">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F6A1EA3"/>
    <w:multiLevelType w:val="hybridMultilevel"/>
    <w:tmpl w:val="0E96D5C4"/>
    <w:lvl w:ilvl="0" w:tplc="ADBA4F62">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CB73CF"/>
    <w:multiLevelType w:val="hybridMultilevel"/>
    <w:tmpl w:val="3F2616A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54F"/>
    <w:rsid w:val="00115E1A"/>
    <w:rsid w:val="00154EB7"/>
    <w:rsid w:val="00156765"/>
    <w:rsid w:val="00310DC6"/>
    <w:rsid w:val="00395747"/>
    <w:rsid w:val="003A074F"/>
    <w:rsid w:val="003F454F"/>
    <w:rsid w:val="00402D57"/>
    <w:rsid w:val="004204CB"/>
    <w:rsid w:val="00424D72"/>
    <w:rsid w:val="0047416C"/>
    <w:rsid w:val="004C012D"/>
    <w:rsid w:val="004E2E0D"/>
    <w:rsid w:val="006E158A"/>
    <w:rsid w:val="00797AFD"/>
    <w:rsid w:val="00864E97"/>
    <w:rsid w:val="00883091"/>
    <w:rsid w:val="008F5626"/>
    <w:rsid w:val="008F7253"/>
    <w:rsid w:val="00997135"/>
    <w:rsid w:val="00A47DE0"/>
    <w:rsid w:val="00B47CB9"/>
    <w:rsid w:val="00B64E3C"/>
    <w:rsid w:val="00B97DF8"/>
    <w:rsid w:val="00BC1097"/>
    <w:rsid w:val="00C01CFE"/>
    <w:rsid w:val="00C54643"/>
    <w:rsid w:val="00CE3A64"/>
    <w:rsid w:val="00D05C71"/>
    <w:rsid w:val="00D40188"/>
    <w:rsid w:val="00E17BB8"/>
    <w:rsid w:val="00F714F7"/>
    <w:rsid w:val="00FB3B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E1A"/>
    <w:pPr>
      <w:keepNext/>
      <w:keepLines/>
      <w:pageBreakBefore/>
      <w:numPr>
        <w:numId w:val="1"/>
      </w:numPr>
      <w:spacing w:before="480" w:after="0"/>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18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4CB"/>
    <w:pPr>
      <w:keepNext/>
      <w:keepLines/>
      <w:numPr>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4E97"/>
    <w:pPr>
      <w:keepNext/>
      <w:keepLines/>
      <w:numPr>
        <w:numId w:val="4"/>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PI"/>
    <w:basedOn w:val="Normal"/>
    <w:next w:val="Normal"/>
    <w:link w:val="SubtitleChar"/>
    <w:uiPriority w:val="11"/>
    <w:qFormat/>
    <w:rsid w:val="003F454F"/>
    <w:pPr>
      <w:numPr>
        <w:ilvl w:val="1"/>
      </w:numPr>
      <w:spacing w:after="160" w:line="259" w:lineRule="auto"/>
      <w:ind w:firstLine="709"/>
    </w:pPr>
    <w:rPr>
      <w:rFonts w:ascii="Calibri Light" w:eastAsiaTheme="majorEastAsia" w:hAnsi="Calibri Light" w:cstheme="majorBidi"/>
      <w:i/>
      <w:iCs/>
      <w:color w:val="95B3D7" w:themeColor="accent1" w:themeTint="99"/>
      <w:spacing w:val="15"/>
      <w:sz w:val="24"/>
      <w:szCs w:val="24"/>
    </w:rPr>
  </w:style>
  <w:style w:type="character" w:customStyle="1" w:styleId="SubtitleChar">
    <w:name w:val="Subtitle Char"/>
    <w:aliases w:val="SubtitlePI Char"/>
    <w:basedOn w:val="DefaultParagraphFont"/>
    <w:link w:val="Subtitle"/>
    <w:uiPriority w:val="11"/>
    <w:rsid w:val="003F454F"/>
    <w:rPr>
      <w:rFonts w:ascii="Calibri Light" w:eastAsiaTheme="majorEastAsia" w:hAnsi="Calibri Light" w:cstheme="majorBidi"/>
      <w:i/>
      <w:iCs/>
      <w:color w:val="95B3D7" w:themeColor="accent1" w:themeTint="99"/>
      <w:spacing w:val="15"/>
      <w:sz w:val="24"/>
      <w:szCs w:val="24"/>
    </w:rPr>
  </w:style>
  <w:style w:type="paragraph" w:styleId="Title">
    <w:name w:val="Title"/>
    <w:basedOn w:val="Normal"/>
    <w:next w:val="Normal"/>
    <w:link w:val="TitleChar"/>
    <w:uiPriority w:val="10"/>
    <w:qFormat/>
    <w:rsid w:val="00115E1A"/>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E1A"/>
    <w:rPr>
      <w:rFonts w:asciiTheme="majorHAnsi" w:eastAsiaTheme="majorEastAsia" w:hAnsiTheme="majorHAnsi" w:cstheme="majorBidi"/>
      <w:color w:val="17365D" w:themeColor="text2" w:themeShade="BF"/>
      <w:spacing w:val="5"/>
      <w:kern w:val="28"/>
      <w:sz w:val="52"/>
      <w:szCs w:val="52"/>
    </w:rPr>
  </w:style>
  <w:style w:type="paragraph" w:customStyle="1" w:styleId="m4541351123633332928m-7969415908891675047msotoc1">
    <w:name w:val="m_4541351123633332928m_-7969415908891675047msotoc1"/>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47CB9"/>
    <w:rPr>
      <w:color w:val="0000FF"/>
      <w:u w:val="single"/>
    </w:rPr>
  </w:style>
  <w:style w:type="paragraph" w:customStyle="1" w:styleId="m4541351123633332928m-7969415908891675047msotoc2">
    <w:name w:val="m_4541351123633332928m_-7969415908891675047msotoc2"/>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4541351123633332928m-7969415908891675047msotoc3">
    <w:name w:val="m_4541351123633332928m_-7969415908891675047msotoc3"/>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115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253"/>
    <w:rPr>
      <w:rFonts w:ascii="Tahoma" w:hAnsi="Tahoma" w:cs="Tahoma"/>
      <w:sz w:val="16"/>
      <w:szCs w:val="16"/>
    </w:rPr>
  </w:style>
  <w:style w:type="paragraph" w:customStyle="1" w:styleId="Texteprformat">
    <w:name w:val="Texte préformaté"/>
    <w:basedOn w:val="Normal"/>
    <w:rsid w:val="008F7253"/>
    <w:pPr>
      <w:widowControl w:val="0"/>
      <w:suppressAutoHyphens/>
      <w:overflowPunct w:val="0"/>
      <w:autoSpaceDE w:val="0"/>
      <w:autoSpaceDN w:val="0"/>
      <w:adjustRightInd w:val="0"/>
      <w:spacing w:after="0" w:line="240" w:lineRule="auto"/>
    </w:pPr>
    <w:rPr>
      <w:rFonts w:ascii="Courier New" w:eastAsia="Times New Roman" w:hAnsi="Courier New" w:cs="Times New Roman"/>
      <w:sz w:val="20"/>
      <w:szCs w:val="20"/>
      <w:lang w:eastAsia="fr-FR"/>
    </w:rPr>
  </w:style>
  <w:style w:type="character" w:customStyle="1" w:styleId="Heading2Char">
    <w:name w:val="Heading 2 Char"/>
    <w:basedOn w:val="DefaultParagraphFont"/>
    <w:link w:val="Heading2"/>
    <w:uiPriority w:val="9"/>
    <w:rsid w:val="00D4018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15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15E1A"/>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204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4E97"/>
    <w:rPr>
      <w:rFonts w:asciiTheme="majorHAnsi" w:eastAsiaTheme="majorEastAsia" w:hAnsiTheme="majorHAnsi" w:cstheme="majorBidi"/>
      <w:b/>
      <w:bCs/>
      <w:i/>
      <w:iCs/>
      <w:color w:val="000000" w:themeColor="text1"/>
    </w:rPr>
  </w:style>
  <w:style w:type="paragraph" w:styleId="ListParagraph">
    <w:name w:val="List Paragraph"/>
    <w:basedOn w:val="Normal"/>
    <w:uiPriority w:val="34"/>
    <w:qFormat/>
    <w:rsid w:val="004C01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E1A"/>
    <w:pPr>
      <w:keepNext/>
      <w:keepLines/>
      <w:pageBreakBefore/>
      <w:numPr>
        <w:numId w:val="1"/>
      </w:numPr>
      <w:spacing w:before="480" w:after="0"/>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18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4CB"/>
    <w:pPr>
      <w:keepNext/>
      <w:keepLines/>
      <w:numPr>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4E97"/>
    <w:pPr>
      <w:keepNext/>
      <w:keepLines/>
      <w:numPr>
        <w:numId w:val="4"/>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PI"/>
    <w:basedOn w:val="Normal"/>
    <w:next w:val="Normal"/>
    <w:link w:val="SubtitleChar"/>
    <w:uiPriority w:val="11"/>
    <w:qFormat/>
    <w:rsid w:val="003F454F"/>
    <w:pPr>
      <w:numPr>
        <w:ilvl w:val="1"/>
      </w:numPr>
      <w:spacing w:after="160" w:line="259" w:lineRule="auto"/>
      <w:ind w:firstLine="709"/>
    </w:pPr>
    <w:rPr>
      <w:rFonts w:ascii="Calibri Light" w:eastAsiaTheme="majorEastAsia" w:hAnsi="Calibri Light" w:cstheme="majorBidi"/>
      <w:i/>
      <w:iCs/>
      <w:color w:val="95B3D7" w:themeColor="accent1" w:themeTint="99"/>
      <w:spacing w:val="15"/>
      <w:sz w:val="24"/>
      <w:szCs w:val="24"/>
    </w:rPr>
  </w:style>
  <w:style w:type="character" w:customStyle="1" w:styleId="SubtitleChar">
    <w:name w:val="Subtitle Char"/>
    <w:aliases w:val="SubtitlePI Char"/>
    <w:basedOn w:val="DefaultParagraphFont"/>
    <w:link w:val="Subtitle"/>
    <w:uiPriority w:val="11"/>
    <w:rsid w:val="003F454F"/>
    <w:rPr>
      <w:rFonts w:ascii="Calibri Light" w:eastAsiaTheme="majorEastAsia" w:hAnsi="Calibri Light" w:cstheme="majorBidi"/>
      <w:i/>
      <w:iCs/>
      <w:color w:val="95B3D7" w:themeColor="accent1" w:themeTint="99"/>
      <w:spacing w:val="15"/>
      <w:sz w:val="24"/>
      <w:szCs w:val="24"/>
    </w:rPr>
  </w:style>
  <w:style w:type="paragraph" w:styleId="Title">
    <w:name w:val="Title"/>
    <w:basedOn w:val="Normal"/>
    <w:next w:val="Normal"/>
    <w:link w:val="TitleChar"/>
    <w:uiPriority w:val="10"/>
    <w:qFormat/>
    <w:rsid w:val="00115E1A"/>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E1A"/>
    <w:rPr>
      <w:rFonts w:asciiTheme="majorHAnsi" w:eastAsiaTheme="majorEastAsia" w:hAnsiTheme="majorHAnsi" w:cstheme="majorBidi"/>
      <w:color w:val="17365D" w:themeColor="text2" w:themeShade="BF"/>
      <w:spacing w:val="5"/>
      <w:kern w:val="28"/>
      <w:sz w:val="52"/>
      <w:szCs w:val="52"/>
    </w:rPr>
  </w:style>
  <w:style w:type="paragraph" w:customStyle="1" w:styleId="m4541351123633332928m-7969415908891675047msotoc1">
    <w:name w:val="m_4541351123633332928m_-7969415908891675047msotoc1"/>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47CB9"/>
    <w:rPr>
      <w:color w:val="0000FF"/>
      <w:u w:val="single"/>
    </w:rPr>
  </w:style>
  <w:style w:type="paragraph" w:customStyle="1" w:styleId="m4541351123633332928m-7969415908891675047msotoc2">
    <w:name w:val="m_4541351123633332928m_-7969415908891675047msotoc2"/>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4541351123633332928m-7969415908891675047msotoc3">
    <w:name w:val="m_4541351123633332928m_-7969415908891675047msotoc3"/>
    <w:basedOn w:val="Normal"/>
    <w:rsid w:val="00B47C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115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253"/>
    <w:rPr>
      <w:rFonts w:ascii="Tahoma" w:hAnsi="Tahoma" w:cs="Tahoma"/>
      <w:sz w:val="16"/>
      <w:szCs w:val="16"/>
    </w:rPr>
  </w:style>
  <w:style w:type="paragraph" w:customStyle="1" w:styleId="Texteprformat">
    <w:name w:val="Texte préformaté"/>
    <w:basedOn w:val="Normal"/>
    <w:rsid w:val="008F7253"/>
    <w:pPr>
      <w:widowControl w:val="0"/>
      <w:suppressAutoHyphens/>
      <w:overflowPunct w:val="0"/>
      <w:autoSpaceDE w:val="0"/>
      <w:autoSpaceDN w:val="0"/>
      <w:adjustRightInd w:val="0"/>
      <w:spacing w:after="0" w:line="240" w:lineRule="auto"/>
    </w:pPr>
    <w:rPr>
      <w:rFonts w:ascii="Courier New" w:eastAsia="Times New Roman" w:hAnsi="Courier New" w:cs="Times New Roman"/>
      <w:sz w:val="20"/>
      <w:szCs w:val="20"/>
      <w:lang w:eastAsia="fr-FR"/>
    </w:rPr>
  </w:style>
  <w:style w:type="character" w:customStyle="1" w:styleId="Heading2Char">
    <w:name w:val="Heading 2 Char"/>
    <w:basedOn w:val="DefaultParagraphFont"/>
    <w:link w:val="Heading2"/>
    <w:uiPriority w:val="9"/>
    <w:rsid w:val="00D4018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15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15E1A"/>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204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4E97"/>
    <w:rPr>
      <w:rFonts w:asciiTheme="majorHAnsi" w:eastAsiaTheme="majorEastAsia" w:hAnsiTheme="majorHAnsi" w:cstheme="majorBidi"/>
      <w:b/>
      <w:bCs/>
      <w:i/>
      <w:iCs/>
      <w:color w:val="000000" w:themeColor="text1"/>
    </w:rPr>
  </w:style>
  <w:style w:type="paragraph" w:styleId="ListParagraph">
    <w:name w:val="List Paragraph"/>
    <w:basedOn w:val="Normal"/>
    <w:uiPriority w:val="34"/>
    <w:qFormat/>
    <w:rsid w:val="004C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3660">
      <w:bodyDiv w:val="1"/>
      <w:marLeft w:val="0"/>
      <w:marRight w:val="0"/>
      <w:marTop w:val="0"/>
      <w:marBottom w:val="0"/>
      <w:divBdr>
        <w:top w:val="none" w:sz="0" w:space="0" w:color="auto"/>
        <w:left w:val="none" w:sz="0" w:space="0" w:color="auto"/>
        <w:bottom w:val="none" w:sz="0" w:space="0" w:color="auto"/>
        <w:right w:val="none" w:sz="0" w:space="0" w:color="auto"/>
      </w:divBdr>
    </w:div>
    <w:div w:id="1288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7</Pages>
  <Words>880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Coxinelle</dc:creator>
  <cp:lastModifiedBy>Coxinelle</cp:lastModifiedBy>
  <cp:revision>8</cp:revision>
  <dcterms:created xsi:type="dcterms:W3CDTF">2016-12-29T03:59:00Z</dcterms:created>
  <dcterms:modified xsi:type="dcterms:W3CDTF">2017-01-15T03:11:00Z</dcterms:modified>
</cp:coreProperties>
</file>